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13F92" w14:textId="77777777" w:rsidR="00905FF4" w:rsidRDefault="00905FF4">
      <w:pPr>
        <w:pStyle w:val="BodyText"/>
        <w:rPr>
          <w:rFonts w:ascii="Times New Roman"/>
          <w:sz w:val="22"/>
        </w:rPr>
      </w:pPr>
    </w:p>
    <w:p w14:paraId="3B10B661" w14:textId="387B3A39" w:rsidR="00905FF4" w:rsidRDefault="000006A1">
      <w:pPr>
        <w:spacing w:before="99"/>
        <w:ind w:left="119"/>
        <w:rPr>
          <w:b/>
          <w:sz w:val="39"/>
        </w:rPr>
      </w:pPr>
      <w:r>
        <w:rPr>
          <w:b/>
          <w:sz w:val="39"/>
        </w:rPr>
        <w:t>RTS 28 - Annual Best Execution Publication 2019</w:t>
      </w:r>
    </w:p>
    <w:p w14:paraId="0B318846" w14:textId="77777777" w:rsidR="00905FF4" w:rsidRDefault="000006A1">
      <w:pPr>
        <w:pStyle w:val="Heading1"/>
        <w:spacing w:before="329"/>
      </w:pPr>
      <w:r>
        <w:t>Purpose</w:t>
      </w:r>
    </w:p>
    <w:p w14:paraId="0645A187" w14:textId="77777777" w:rsidR="00905FF4" w:rsidRDefault="00905FF4">
      <w:pPr>
        <w:pStyle w:val="BodyText"/>
        <w:spacing w:before="5"/>
        <w:rPr>
          <w:b/>
          <w:sz w:val="28"/>
        </w:rPr>
      </w:pPr>
    </w:p>
    <w:p w14:paraId="38525F15" w14:textId="77777777" w:rsidR="00905FF4" w:rsidRDefault="000006A1">
      <w:pPr>
        <w:pStyle w:val="BodyText"/>
        <w:spacing w:before="1"/>
        <w:ind w:left="119" w:right="218"/>
      </w:pPr>
      <w:r>
        <w:rPr>
          <w:color w:val="4C4C4C"/>
        </w:rPr>
        <w:t>The Execution Quality Summary Statement (hereafter the “EQSS” or the “Statement”) is a statement that Capital Com SV Investments Limited (hereafter the “Company”), an Investment Firm authorised and regulated by the Cyprus Securities and Exchange Commission</w:t>
      </w:r>
      <w:r>
        <w:rPr>
          <w:color w:val="4C4C4C"/>
        </w:rPr>
        <w:t xml:space="preserve"> (CySEC) with License Number 319/17, is required to disclose to its Clients under the </w:t>
      </w:r>
      <w:r>
        <w:rPr>
          <w:color w:val="0000FF"/>
          <w:u w:val="single" w:color="0000FF"/>
        </w:rPr>
        <w:t>Commission Delegated Regulation (EU) 2017/576</w:t>
      </w:r>
      <w:r>
        <w:rPr>
          <w:color w:val="0000FF"/>
        </w:rPr>
        <w:t xml:space="preserve"> </w:t>
      </w:r>
      <w:r>
        <w:rPr>
          <w:color w:val="4C4C4C"/>
        </w:rPr>
        <w:t>(hereafter the “RTS28”) supplementing Directive 2014/65/EU of the European Parliament and of the Council, with regards to th</w:t>
      </w:r>
      <w:r>
        <w:rPr>
          <w:color w:val="4C4C4C"/>
        </w:rPr>
        <w:t>e regulatory technical standards for the annual publication by Investment Firms (hereafter the “IFs”) of information on the identity of execution venues and on the quality of execution.</w:t>
      </w:r>
    </w:p>
    <w:p w14:paraId="4B167475" w14:textId="77777777" w:rsidR="00905FF4" w:rsidRDefault="00905FF4">
      <w:pPr>
        <w:pStyle w:val="BodyText"/>
        <w:spacing w:before="11"/>
        <w:rPr>
          <w:sz w:val="27"/>
        </w:rPr>
      </w:pPr>
    </w:p>
    <w:p w14:paraId="377E7F73" w14:textId="77777777" w:rsidR="00905FF4" w:rsidRDefault="000006A1">
      <w:pPr>
        <w:pStyle w:val="BodyText"/>
        <w:ind w:left="119" w:right="676"/>
      </w:pPr>
      <w:r>
        <w:rPr>
          <w:color w:val="4C4C4C"/>
        </w:rPr>
        <w:t>The EQSS is a summary of the analysis and conclusions the Company dre</w:t>
      </w:r>
      <w:r>
        <w:rPr>
          <w:color w:val="4C4C4C"/>
        </w:rPr>
        <w:t>w from its detailed monitoring of the quality of execution obtained on the execution venues where it executed all Client orders during the year 2018, covering a full year cycle (hereafter, the “year under review”).</w:t>
      </w:r>
    </w:p>
    <w:p w14:paraId="0AEC3B8B" w14:textId="77777777" w:rsidR="00905FF4" w:rsidRDefault="00905FF4">
      <w:pPr>
        <w:pStyle w:val="BodyText"/>
        <w:spacing w:before="3"/>
        <w:rPr>
          <w:sz w:val="28"/>
        </w:rPr>
      </w:pPr>
    </w:p>
    <w:p w14:paraId="23B4F207" w14:textId="77777777" w:rsidR="00905FF4" w:rsidRDefault="000006A1">
      <w:pPr>
        <w:pStyle w:val="BodyText"/>
        <w:spacing w:before="1"/>
        <w:ind w:left="119" w:right="1048"/>
      </w:pPr>
      <w:r>
        <w:rPr>
          <w:color w:val="4C4C4C"/>
        </w:rPr>
        <w:t>The Company urges its Clients and/or pot</w:t>
      </w:r>
      <w:r>
        <w:rPr>
          <w:color w:val="4C4C4C"/>
        </w:rPr>
        <w:t>ential Clients to read the Statement carefully as it contains information as regards the execution venue(s) used by the Company in relation to the asset class of Contracts for Differences (CFDs).</w:t>
      </w:r>
    </w:p>
    <w:p w14:paraId="6FB5C8A9" w14:textId="77777777" w:rsidR="00905FF4" w:rsidRDefault="00905FF4">
      <w:pPr>
        <w:pStyle w:val="BodyText"/>
        <w:spacing w:before="1"/>
        <w:rPr>
          <w:sz w:val="28"/>
        </w:rPr>
      </w:pPr>
    </w:p>
    <w:p w14:paraId="2BDFFE98" w14:textId="77777777" w:rsidR="00905FF4" w:rsidRDefault="000006A1">
      <w:pPr>
        <w:pStyle w:val="BodyText"/>
        <w:spacing w:line="523" w:lineRule="auto"/>
        <w:ind w:left="119" w:right="1129"/>
      </w:pPr>
      <w:r>
        <w:rPr>
          <w:color w:val="4C4C4C"/>
        </w:rPr>
        <w:t xml:space="preserve">The EQSS along with the accompanying tables will remain on </w:t>
      </w:r>
      <w:r>
        <w:rPr>
          <w:color w:val="4C4C4C"/>
        </w:rPr>
        <w:t>the Company’s website for at least two years post its publication. This document is solely for own use and cannot be published elsewhere without the written consent of the Company.</w:t>
      </w:r>
    </w:p>
    <w:p w14:paraId="4B36E928" w14:textId="77777777" w:rsidR="00905FF4" w:rsidRDefault="00905FF4">
      <w:pPr>
        <w:spacing w:line="523" w:lineRule="auto"/>
        <w:sectPr w:rsidR="00905FF4">
          <w:type w:val="continuous"/>
          <w:pgSz w:w="16840" w:h="11910" w:orient="landscape"/>
          <w:pgMar w:top="1100" w:right="1320" w:bottom="280" w:left="1340" w:header="720" w:footer="720" w:gutter="0"/>
          <w:cols w:space="720"/>
        </w:sectPr>
      </w:pPr>
    </w:p>
    <w:p w14:paraId="149B7881" w14:textId="77777777" w:rsidR="00905FF4" w:rsidRDefault="00905FF4">
      <w:pPr>
        <w:pStyle w:val="BodyText"/>
        <w:spacing w:before="6"/>
        <w:rPr>
          <w:sz w:val="21"/>
        </w:rPr>
      </w:pPr>
    </w:p>
    <w:p w14:paraId="2B6A9F97" w14:textId="77777777" w:rsidR="00905FF4" w:rsidRDefault="000006A1">
      <w:pPr>
        <w:pStyle w:val="Heading1"/>
      </w:pPr>
      <w:r>
        <w:t>Information on the Quality of</w:t>
      </w:r>
      <w:r>
        <w:rPr>
          <w:spacing w:val="-25"/>
        </w:rPr>
        <w:t xml:space="preserve"> </w:t>
      </w:r>
      <w:r>
        <w:t>Execution</w:t>
      </w:r>
    </w:p>
    <w:p w14:paraId="34793C92" w14:textId="77777777" w:rsidR="00905FF4" w:rsidRDefault="00905FF4">
      <w:pPr>
        <w:pStyle w:val="BodyText"/>
        <w:spacing w:before="4"/>
        <w:rPr>
          <w:b/>
          <w:sz w:val="40"/>
        </w:rPr>
      </w:pPr>
    </w:p>
    <w:p w14:paraId="2A158947" w14:textId="77777777" w:rsidR="00905FF4" w:rsidRDefault="000006A1">
      <w:pPr>
        <w:pStyle w:val="Heading2"/>
        <w:numPr>
          <w:ilvl w:val="0"/>
          <w:numId w:val="1"/>
        </w:numPr>
        <w:tabs>
          <w:tab w:val="left" w:pos="840"/>
        </w:tabs>
        <w:ind w:hanging="361"/>
      </w:pPr>
      <w:r>
        <w:rPr>
          <w:color w:val="4C4C4C"/>
        </w:rPr>
        <w:t>Publication of e</w:t>
      </w:r>
      <w:r>
        <w:rPr>
          <w:color w:val="4C4C4C"/>
        </w:rPr>
        <w:t>xecution</w:t>
      </w:r>
      <w:r>
        <w:rPr>
          <w:color w:val="4C4C4C"/>
          <w:spacing w:val="-2"/>
        </w:rPr>
        <w:t xml:space="preserve"> </w:t>
      </w:r>
      <w:r>
        <w:rPr>
          <w:color w:val="4C4C4C"/>
        </w:rPr>
        <w:t>venues</w:t>
      </w:r>
    </w:p>
    <w:p w14:paraId="17403346" w14:textId="77777777" w:rsidR="00905FF4" w:rsidRDefault="000006A1">
      <w:pPr>
        <w:pStyle w:val="BodyText"/>
        <w:spacing w:before="136" w:line="360" w:lineRule="auto"/>
        <w:ind w:left="839" w:right="547"/>
      </w:pPr>
      <w:r>
        <w:rPr>
          <w:color w:val="4C4C4C"/>
        </w:rPr>
        <w:t>The Company is dealing on own account as principal at all times and therefore is the sole execution venue for all its retail and professional clients’ orders.</w:t>
      </w:r>
    </w:p>
    <w:p w14:paraId="14FBCD0A" w14:textId="77777777" w:rsidR="00905FF4" w:rsidRDefault="000006A1">
      <w:pPr>
        <w:pStyle w:val="Heading2"/>
        <w:numPr>
          <w:ilvl w:val="0"/>
          <w:numId w:val="1"/>
        </w:numPr>
        <w:tabs>
          <w:tab w:val="left" w:pos="840"/>
        </w:tabs>
        <w:spacing w:before="178"/>
        <w:ind w:hanging="361"/>
      </w:pPr>
      <w:r>
        <w:rPr>
          <w:color w:val="4C4C4C"/>
        </w:rPr>
        <w:t>Information on the top five execution</w:t>
      </w:r>
      <w:r>
        <w:rPr>
          <w:color w:val="4C4C4C"/>
          <w:spacing w:val="-7"/>
        </w:rPr>
        <w:t xml:space="preserve"> </w:t>
      </w:r>
      <w:r>
        <w:rPr>
          <w:color w:val="4C4C4C"/>
        </w:rPr>
        <w:t>venues</w:t>
      </w:r>
    </w:p>
    <w:p w14:paraId="1AF5AC7C" w14:textId="77777777" w:rsidR="00905FF4" w:rsidRDefault="00905FF4">
      <w:pPr>
        <w:pStyle w:val="BodyText"/>
        <w:spacing w:before="11"/>
        <w:rPr>
          <w:b/>
          <w:sz w:val="23"/>
        </w:rPr>
      </w:pPr>
    </w:p>
    <w:p w14:paraId="5DE6DF32" w14:textId="77777777" w:rsidR="00905FF4" w:rsidRDefault="000006A1">
      <w:pPr>
        <w:pStyle w:val="BodyText"/>
        <w:ind w:left="839"/>
      </w:pPr>
      <w:r>
        <w:rPr>
          <w:color w:val="4C4C4C"/>
        </w:rPr>
        <w:t>Table 1: Retail Clients</w:t>
      </w:r>
    </w:p>
    <w:p w14:paraId="7D0D6C4F" w14:textId="77777777" w:rsidR="00905FF4" w:rsidRDefault="00905FF4">
      <w:pPr>
        <w:pStyle w:val="BodyText"/>
        <w:spacing w:before="10"/>
        <w:rPr>
          <w:sz w:val="11"/>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2"/>
        <w:gridCol w:w="1901"/>
        <w:gridCol w:w="1896"/>
        <w:gridCol w:w="1901"/>
        <w:gridCol w:w="1901"/>
        <w:gridCol w:w="2002"/>
      </w:tblGrid>
      <w:tr w:rsidR="00905FF4" w14:paraId="3E3B0954" w14:textId="77777777">
        <w:trPr>
          <w:trHeight w:val="340"/>
        </w:trPr>
        <w:tc>
          <w:tcPr>
            <w:tcW w:w="3922" w:type="dxa"/>
            <w:shd w:val="clear" w:color="auto" w:fill="D0CECE"/>
          </w:tcPr>
          <w:p w14:paraId="0701092A" w14:textId="77777777" w:rsidR="00905FF4" w:rsidRDefault="000006A1">
            <w:pPr>
              <w:pStyle w:val="TableParagraph"/>
              <w:spacing w:before="25"/>
              <w:rPr>
                <w:sz w:val="24"/>
              </w:rPr>
            </w:pPr>
            <w:r>
              <w:rPr>
                <w:sz w:val="24"/>
              </w:rPr>
              <w:t>Client Classification</w:t>
            </w:r>
          </w:p>
        </w:tc>
        <w:tc>
          <w:tcPr>
            <w:tcW w:w="9601" w:type="dxa"/>
            <w:gridSpan w:val="5"/>
          </w:tcPr>
          <w:p w14:paraId="4DC94A7A" w14:textId="77777777" w:rsidR="00905FF4" w:rsidRDefault="000006A1">
            <w:pPr>
              <w:pStyle w:val="TableParagraph"/>
              <w:spacing w:before="25"/>
              <w:rPr>
                <w:sz w:val="24"/>
              </w:rPr>
            </w:pPr>
            <w:r>
              <w:rPr>
                <w:sz w:val="24"/>
              </w:rPr>
              <w:t>Reta</w:t>
            </w:r>
            <w:r>
              <w:rPr>
                <w:sz w:val="24"/>
              </w:rPr>
              <w:t>il Clients</w:t>
            </w:r>
          </w:p>
        </w:tc>
      </w:tr>
      <w:tr w:rsidR="00905FF4" w14:paraId="65F0F68A" w14:textId="77777777">
        <w:trPr>
          <w:trHeight w:val="585"/>
        </w:trPr>
        <w:tc>
          <w:tcPr>
            <w:tcW w:w="3922" w:type="dxa"/>
            <w:shd w:val="clear" w:color="auto" w:fill="D0CECE"/>
          </w:tcPr>
          <w:p w14:paraId="79E1C1A4" w14:textId="77777777" w:rsidR="00905FF4" w:rsidRDefault="000006A1">
            <w:pPr>
              <w:pStyle w:val="TableParagraph"/>
              <w:spacing w:before="145"/>
              <w:rPr>
                <w:sz w:val="24"/>
              </w:rPr>
            </w:pPr>
            <w:r>
              <w:rPr>
                <w:sz w:val="24"/>
              </w:rPr>
              <w:t>Class of Instrument</w:t>
            </w:r>
          </w:p>
        </w:tc>
        <w:tc>
          <w:tcPr>
            <w:tcW w:w="9601" w:type="dxa"/>
            <w:gridSpan w:val="5"/>
          </w:tcPr>
          <w:p w14:paraId="64CEA085" w14:textId="77777777" w:rsidR="00905FF4" w:rsidRDefault="000006A1">
            <w:pPr>
              <w:pStyle w:val="TableParagraph"/>
              <w:spacing w:before="1" w:line="290" w:lineRule="atLeast"/>
              <w:ind w:right="1713"/>
              <w:rPr>
                <w:sz w:val="24"/>
              </w:rPr>
            </w:pPr>
            <w:r>
              <w:rPr>
                <w:sz w:val="24"/>
              </w:rPr>
              <w:t>(j) Contract for difference - based on stock indices, shares, commodities, FX and cryptocurrencies</w:t>
            </w:r>
          </w:p>
        </w:tc>
      </w:tr>
      <w:tr w:rsidR="00905FF4" w14:paraId="3B752B50" w14:textId="77777777">
        <w:trPr>
          <w:trHeight w:val="679"/>
        </w:trPr>
        <w:tc>
          <w:tcPr>
            <w:tcW w:w="3922" w:type="dxa"/>
            <w:shd w:val="clear" w:color="auto" w:fill="D0CECE"/>
          </w:tcPr>
          <w:p w14:paraId="682EFF5F" w14:textId="77777777" w:rsidR="00905FF4" w:rsidRDefault="000006A1">
            <w:pPr>
              <w:pStyle w:val="TableParagraph"/>
              <w:spacing w:before="48"/>
              <w:ind w:right="368"/>
              <w:rPr>
                <w:sz w:val="24"/>
              </w:rPr>
            </w:pPr>
            <w:r>
              <w:rPr>
                <w:sz w:val="24"/>
              </w:rPr>
              <w:t>Notification if &lt;1 average trade per business day in the previous year</w:t>
            </w:r>
          </w:p>
        </w:tc>
        <w:tc>
          <w:tcPr>
            <w:tcW w:w="9601" w:type="dxa"/>
            <w:gridSpan w:val="5"/>
          </w:tcPr>
          <w:p w14:paraId="6E07C749" w14:textId="77777777" w:rsidR="00905FF4" w:rsidRDefault="000006A1">
            <w:pPr>
              <w:pStyle w:val="TableParagraph"/>
              <w:spacing w:before="192"/>
              <w:rPr>
                <w:sz w:val="24"/>
              </w:rPr>
            </w:pPr>
            <w:r>
              <w:rPr>
                <w:sz w:val="24"/>
              </w:rPr>
              <w:t>N</w:t>
            </w:r>
          </w:p>
        </w:tc>
      </w:tr>
      <w:tr w:rsidR="00905FF4" w14:paraId="42364F9B" w14:textId="77777777">
        <w:trPr>
          <w:trHeight w:val="1463"/>
        </w:trPr>
        <w:tc>
          <w:tcPr>
            <w:tcW w:w="3922" w:type="dxa"/>
            <w:shd w:val="clear" w:color="auto" w:fill="D0CECE"/>
          </w:tcPr>
          <w:p w14:paraId="190B7634" w14:textId="77777777" w:rsidR="00905FF4" w:rsidRDefault="00905FF4">
            <w:pPr>
              <w:pStyle w:val="TableParagraph"/>
              <w:spacing w:before="1"/>
              <w:ind w:left="0"/>
              <w:rPr>
                <w:rFonts w:ascii="Cambria"/>
                <w:sz w:val="25"/>
              </w:rPr>
            </w:pPr>
          </w:p>
          <w:p w14:paraId="67C27012" w14:textId="77777777" w:rsidR="00905FF4" w:rsidRDefault="000006A1">
            <w:pPr>
              <w:pStyle w:val="TableParagraph"/>
              <w:spacing w:before="0"/>
              <w:ind w:right="101"/>
              <w:rPr>
                <w:sz w:val="24"/>
              </w:rPr>
            </w:pPr>
            <w:r>
              <w:rPr>
                <w:sz w:val="24"/>
              </w:rPr>
              <w:t>Top five execution venues ranked in terms of trading volumes (descending order)</w:t>
            </w:r>
          </w:p>
        </w:tc>
        <w:tc>
          <w:tcPr>
            <w:tcW w:w="1901" w:type="dxa"/>
            <w:shd w:val="clear" w:color="auto" w:fill="D0CECE"/>
          </w:tcPr>
          <w:p w14:paraId="295251CF" w14:textId="77777777" w:rsidR="00905FF4" w:rsidRDefault="000006A1">
            <w:pPr>
              <w:pStyle w:val="TableParagraph"/>
              <w:spacing w:before="1" w:line="290" w:lineRule="atLeast"/>
              <w:ind w:left="178" w:right="173"/>
              <w:jc w:val="center"/>
              <w:rPr>
                <w:sz w:val="24"/>
              </w:rPr>
            </w:pPr>
            <w:r>
              <w:rPr>
                <w:sz w:val="24"/>
              </w:rPr>
              <w:t>Proportion of volume traded as a percentage of total in that class</w:t>
            </w:r>
          </w:p>
        </w:tc>
        <w:tc>
          <w:tcPr>
            <w:tcW w:w="1896" w:type="dxa"/>
            <w:shd w:val="clear" w:color="auto" w:fill="D0CECE"/>
          </w:tcPr>
          <w:p w14:paraId="561941EC" w14:textId="77777777" w:rsidR="00905FF4" w:rsidRDefault="000006A1">
            <w:pPr>
              <w:pStyle w:val="TableParagraph"/>
              <w:spacing w:before="145"/>
              <w:ind w:left="115" w:right="105" w:hanging="1"/>
              <w:jc w:val="center"/>
              <w:rPr>
                <w:sz w:val="24"/>
              </w:rPr>
            </w:pPr>
            <w:r>
              <w:rPr>
                <w:sz w:val="24"/>
              </w:rPr>
              <w:t>Proportion of orders executed as percentage of total in that class</w:t>
            </w:r>
          </w:p>
        </w:tc>
        <w:tc>
          <w:tcPr>
            <w:tcW w:w="1901" w:type="dxa"/>
            <w:shd w:val="clear" w:color="auto" w:fill="D0CECE"/>
          </w:tcPr>
          <w:p w14:paraId="2202DEC4" w14:textId="77777777" w:rsidR="00905FF4" w:rsidRDefault="00905FF4">
            <w:pPr>
              <w:pStyle w:val="TableParagraph"/>
              <w:spacing w:before="4"/>
              <w:ind w:left="0"/>
              <w:rPr>
                <w:rFonts w:ascii="Cambria"/>
                <w:sz w:val="37"/>
              </w:rPr>
            </w:pPr>
          </w:p>
          <w:p w14:paraId="6328CB7C" w14:textId="77777777" w:rsidR="00905FF4" w:rsidRDefault="000006A1">
            <w:pPr>
              <w:pStyle w:val="TableParagraph"/>
              <w:spacing w:before="0"/>
              <w:ind w:left="251" w:right="220" w:firstLine="21"/>
              <w:rPr>
                <w:sz w:val="24"/>
              </w:rPr>
            </w:pPr>
            <w:r>
              <w:rPr>
                <w:sz w:val="24"/>
              </w:rPr>
              <w:t>Percentage of passive orders</w:t>
            </w:r>
          </w:p>
        </w:tc>
        <w:tc>
          <w:tcPr>
            <w:tcW w:w="1901" w:type="dxa"/>
            <w:shd w:val="clear" w:color="auto" w:fill="D0CECE"/>
          </w:tcPr>
          <w:p w14:paraId="2F133C6C" w14:textId="77777777" w:rsidR="00905FF4" w:rsidRDefault="00905FF4">
            <w:pPr>
              <w:pStyle w:val="TableParagraph"/>
              <w:spacing w:before="1"/>
              <w:ind w:left="0"/>
              <w:rPr>
                <w:rFonts w:ascii="Cambria"/>
                <w:sz w:val="25"/>
              </w:rPr>
            </w:pPr>
          </w:p>
          <w:p w14:paraId="1001D60D" w14:textId="77777777" w:rsidR="00905FF4" w:rsidRDefault="000006A1">
            <w:pPr>
              <w:pStyle w:val="TableParagraph"/>
              <w:spacing w:before="0"/>
              <w:ind w:left="177" w:right="173"/>
              <w:jc w:val="center"/>
              <w:rPr>
                <w:sz w:val="24"/>
              </w:rPr>
            </w:pPr>
            <w:r>
              <w:rPr>
                <w:sz w:val="24"/>
              </w:rPr>
              <w:t>Percentage of aggressive orders</w:t>
            </w:r>
          </w:p>
        </w:tc>
        <w:tc>
          <w:tcPr>
            <w:tcW w:w="2002" w:type="dxa"/>
            <w:shd w:val="clear" w:color="auto" w:fill="D0CECE"/>
          </w:tcPr>
          <w:p w14:paraId="317D69E5" w14:textId="77777777" w:rsidR="00905FF4" w:rsidRDefault="00905FF4">
            <w:pPr>
              <w:pStyle w:val="TableParagraph"/>
              <w:spacing w:before="4"/>
              <w:ind w:left="0"/>
              <w:rPr>
                <w:rFonts w:ascii="Cambria"/>
                <w:sz w:val="37"/>
              </w:rPr>
            </w:pPr>
          </w:p>
          <w:p w14:paraId="3354405F" w14:textId="77777777" w:rsidR="00905FF4" w:rsidRDefault="000006A1">
            <w:pPr>
              <w:pStyle w:val="TableParagraph"/>
              <w:spacing w:before="0"/>
              <w:ind w:left="246" w:right="226" w:firstLine="71"/>
              <w:rPr>
                <w:sz w:val="24"/>
              </w:rPr>
            </w:pPr>
            <w:r>
              <w:rPr>
                <w:sz w:val="24"/>
              </w:rPr>
              <w:t>Percentage of directed orders</w:t>
            </w:r>
          </w:p>
        </w:tc>
      </w:tr>
      <w:tr w:rsidR="00905FF4" w14:paraId="40883DB6" w14:textId="77777777">
        <w:trPr>
          <w:trHeight w:val="679"/>
        </w:trPr>
        <w:tc>
          <w:tcPr>
            <w:tcW w:w="3922" w:type="dxa"/>
          </w:tcPr>
          <w:p w14:paraId="3898D802" w14:textId="77777777" w:rsidR="00905FF4" w:rsidRDefault="000006A1">
            <w:pPr>
              <w:pStyle w:val="TableParagraph"/>
              <w:spacing w:before="47"/>
              <w:ind w:right="273"/>
              <w:rPr>
                <w:sz w:val="24"/>
              </w:rPr>
            </w:pPr>
            <w:r>
              <w:rPr>
                <w:sz w:val="24"/>
              </w:rPr>
              <w:t>Capital Com SV Investments Limited 2138001R35G3IZJZZC68</w:t>
            </w:r>
          </w:p>
        </w:tc>
        <w:tc>
          <w:tcPr>
            <w:tcW w:w="1901" w:type="dxa"/>
          </w:tcPr>
          <w:p w14:paraId="5AA39160" w14:textId="77777777" w:rsidR="00905FF4" w:rsidRDefault="000006A1">
            <w:pPr>
              <w:pStyle w:val="TableParagraph"/>
              <w:ind w:left="175" w:right="173"/>
              <w:jc w:val="center"/>
              <w:rPr>
                <w:sz w:val="24"/>
              </w:rPr>
            </w:pPr>
            <w:r>
              <w:rPr>
                <w:sz w:val="24"/>
              </w:rPr>
              <w:t>100%</w:t>
            </w:r>
          </w:p>
        </w:tc>
        <w:tc>
          <w:tcPr>
            <w:tcW w:w="1896" w:type="dxa"/>
          </w:tcPr>
          <w:p w14:paraId="500D091C" w14:textId="77777777" w:rsidR="00905FF4" w:rsidRDefault="000006A1">
            <w:pPr>
              <w:pStyle w:val="TableParagraph"/>
              <w:ind w:left="658" w:right="651"/>
              <w:jc w:val="center"/>
              <w:rPr>
                <w:sz w:val="24"/>
              </w:rPr>
            </w:pPr>
            <w:r>
              <w:rPr>
                <w:sz w:val="24"/>
              </w:rPr>
              <w:t>100%</w:t>
            </w:r>
          </w:p>
        </w:tc>
        <w:tc>
          <w:tcPr>
            <w:tcW w:w="1901" w:type="dxa"/>
          </w:tcPr>
          <w:p w14:paraId="1F234CF8" w14:textId="77777777" w:rsidR="00905FF4" w:rsidRDefault="000006A1">
            <w:pPr>
              <w:pStyle w:val="TableParagraph"/>
              <w:ind w:left="178" w:right="166"/>
              <w:jc w:val="center"/>
              <w:rPr>
                <w:sz w:val="24"/>
              </w:rPr>
            </w:pPr>
            <w:r>
              <w:rPr>
                <w:sz w:val="24"/>
              </w:rPr>
              <w:t>N/A</w:t>
            </w:r>
          </w:p>
        </w:tc>
        <w:tc>
          <w:tcPr>
            <w:tcW w:w="1901" w:type="dxa"/>
          </w:tcPr>
          <w:p w14:paraId="284C78BF" w14:textId="77777777" w:rsidR="00905FF4" w:rsidRDefault="000006A1">
            <w:pPr>
              <w:pStyle w:val="TableParagraph"/>
              <w:ind w:left="175" w:right="173"/>
              <w:jc w:val="center"/>
              <w:rPr>
                <w:sz w:val="24"/>
              </w:rPr>
            </w:pPr>
            <w:r>
              <w:rPr>
                <w:sz w:val="24"/>
              </w:rPr>
              <w:t>N/A</w:t>
            </w:r>
          </w:p>
        </w:tc>
        <w:tc>
          <w:tcPr>
            <w:tcW w:w="2002" w:type="dxa"/>
          </w:tcPr>
          <w:p w14:paraId="18C10923" w14:textId="77777777" w:rsidR="00905FF4" w:rsidRDefault="000006A1">
            <w:pPr>
              <w:pStyle w:val="TableParagraph"/>
              <w:ind w:left="783" w:right="782"/>
              <w:jc w:val="center"/>
              <w:rPr>
                <w:sz w:val="24"/>
              </w:rPr>
            </w:pPr>
            <w:r>
              <w:rPr>
                <w:sz w:val="24"/>
              </w:rPr>
              <w:t>N/A</w:t>
            </w:r>
          </w:p>
        </w:tc>
      </w:tr>
    </w:tbl>
    <w:p w14:paraId="45B43939" w14:textId="77777777" w:rsidR="00905FF4" w:rsidRDefault="00905FF4">
      <w:pPr>
        <w:jc w:val="center"/>
        <w:rPr>
          <w:sz w:val="24"/>
        </w:rPr>
        <w:sectPr w:rsidR="00905FF4">
          <w:pgSz w:w="16840" w:h="11910" w:orient="landscape"/>
          <w:pgMar w:top="1100" w:right="1320" w:bottom="280" w:left="1340" w:header="720" w:footer="720" w:gutter="0"/>
          <w:cols w:space="720"/>
        </w:sectPr>
      </w:pPr>
    </w:p>
    <w:p w14:paraId="2E040BD6" w14:textId="77777777" w:rsidR="00905FF4" w:rsidRDefault="00905FF4">
      <w:pPr>
        <w:pStyle w:val="BodyText"/>
        <w:spacing w:before="9"/>
        <w:rPr>
          <w:sz w:val="21"/>
        </w:rPr>
      </w:pPr>
    </w:p>
    <w:p w14:paraId="6C46D932" w14:textId="77777777" w:rsidR="00905FF4" w:rsidRDefault="000006A1">
      <w:pPr>
        <w:pStyle w:val="BodyText"/>
        <w:spacing w:before="100"/>
        <w:ind w:left="839"/>
      </w:pPr>
      <w:r>
        <w:rPr>
          <w:color w:val="4C4C4C"/>
        </w:rPr>
        <w:t>Table 2: Professional Clients</w:t>
      </w:r>
    </w:p>
    <w:p w14:paraId="750745CD" w14:textId="77777777" w:rsidR="00905FF4" w:rsidRDefault="00905FF4">
      <w:pPr>
        <w:pStyle w:val="BodyText"/>
        <w:spacing w:before="10"/>
        <w:rPr>
          <w:sz w:val="11"/>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2"/>
        <w:gridCol w:w="1901"/>
        <w:gridCol w:w="1896"/>
        <w:gridCol w:w="1901"/>
        <w:gridCol w:w="1901"/>
        <w:gridCol w:w="2002"/>
      </w:tblGrid>
      <w:tr w:rsidR="00905FF4" w14:paraId="7E884B62" w14:textId="77777777">
        <w:trPr>
          <w:trHeight w:val="340"/>
        </w:trPr>
        <w:tc>
          <w:tcPr>
            <w:tcW w:w="3922" w:type="dxa"/>
            <w:shd w:val="clear" w:color="auto" w:fill="D0CECE"/>
          </w:tcPr>
          <w:p w14:paraId="330DC661" w14:textId="77777777" w:rsidR="00905FF4" w:rsidRDefault="000006A1">
            <w:pPr>
              <w:pStyle w:val="TableParagraph"/>
              <w:spacing w:before="25"/>
              <w:rPr>
                <w:sz w:val="24"/>
              </w:rPr>
            </w:pPr>
            <w:r>
              <w:rPr>
                <w:sz w:val="24"/>
              </w:rPr>
              <w:t>Client Classification</w:t>
            </w:r>
          </w:p>
        </w:tc>
        <w:tc>
          <w:tcPr>
            <w:tcW w:w="9601" w:type="dxa"/>
            <w:gridSpan w:val="5"/>
          </w:tcPr>
          <w:p w14:paraId="32804949" w14:textId="77777777" w:rsidR="00905FF4" w:rsidRDefault="000006A1">
            <w:pPr>
              <w:pStyle w:val="TableParagraph"/>
              <w:spacing w:before="25"/>
              <w:rPr>
                <w:sz w:val="24"/>
              </w:rPr>
            </w:pPr>
            <w:r>
              <w:rPr>
                <w:sz w:val="24"/>
              </w:rPr>
              <w:t>Professional Clients</w:t>
            </w:r>
          </w:p>
        </w:tc>
      </w:tr>
      <w:tr w:rsidR="00905FF4" w14:paraId="56E0ED85" w14:textId="77777777">
        <w:trPr>
          <w:trHeight w:val="585"/>
        </w:trPr>
        <w:tc>
          <w:tcPr>
            <w:tcW w:w="3922" w:type="dxa"/>
            <w:shd w:val="clear" w:color="auto" w:fill="D0CECE"/>
          </w:tcPr>
          <w:p w14:paraId="4DC0F4F3" w14:textId="77777777" w:rsidR="00905FF4" w:rsidRDefault="000006A1">
            <w:pPr>
              <w:pStyle w:val="TableParagraph"/>
              <w:spacing w:before="145"/>
              <w:rPr>
                <w:sz w:val="24"/>
              </w:rPr>
            </w:pPr>
            <w:r>
              <w:rPr>
                <w:sz w:val="24"/>
              </w:rPr>
              <w:t>Class of Instrument</w:t>
            </w:r>
          </w:p>
        </w:tc>
        <w:tc>
          <w:tcPr>
            <w:tcW w:w="9601" w:type="dxa"/>
            <w:gridSpan w:val="5"/>
          </w:tcPr>
          <w:p w14:paraId="7E81DBF9" w14:textId="77777777" w:rsidR="00905FF4" w:rsidRDefault="000006A1">
            <w:pPr>
              <w:pStyle w:val="TableParagraph"/>
              <w:spacing w:before="1" w:line="290" w:lineRule="atLeast"/>
              <w:ind w:right="1713"/>
              <w:rPr>
                <w:sz w:val="24"/>
              </w:rPr>
            </w:pPr>
            <w:r>
              <w:rPr>
                <w:sz w:val="24"/>
              </w:rPr>
              <w:t>(j) Contract for difference - based on stock indices, shares, commodities, FX and cryptocurrencies</w:t>
            </w:r>
          </w:p>
        </w:tc>
      </w:tr>
      <w:tr w:rsidR="00905FF4" w14:paraId="5DBE9769" w14:textId="77777777">
        <w:trPr>
          <w:trHeight w:val="679"/>
        </w:trPr>
        <w:tc>
          <w:tcPr>
            <w:tcW w:w="3922" w:type="dxa"/>
            <w:shd w:val="clear" w:color="auto" w:fill="D0CECE"/>
          </w:tcPr>
          <w:p w14:paraId="0E04F025" w14:textId="77777777" w:rsidR="00905FF4" w:rsidRDefault="000006A1">
            <w:pPr>
              <w:pStyle w:val="TableParagraph"/>
              <w:spacing w:before="48"/>
              <w:ind w:right="368"/>
              <w:rPr>
                <w:sz w:val="24"/>
              </w:rPr>
            </w:pPr>
            <w:r>
              <w:rPr>
                <w:sz w:val="24"/>
              </w:rPr>
              <w:t>Notification if &lt;1 average trade per business day in the previous year</w:t>
            </w:r>
          </w:p>
        </w:tc>
        <w:tc>
          <w:tcPr>
            <w:tcW w:w="9601" w:type="dxa"/>
            <w:gridSpan w:val="5"/>
          </w:tcPr>
          <w:p w14:paraId="6E7D7356" w14:textId="77777777" w:rsidR="00905FF4" w:rsidRDefault="000006A1">
            <w:pPr>
              <w:pStyle w:val="TableParagraph"/>
              <w:spacing w:before="192"/>
              <w:rPr>
                <w:sz w:val="24"/>
              </w:rPr>
            </w:pPr>
            <w:r>
              <w:rPr>
                <w:sz w:val="24"/>
              </w:rPr>
              <w:t>N</w:t>
            </w:r>
          </w:p>
        </w:tc>
      </w:tr>
      <w:tr w:rsidR="00905FF4" w14:paraId="3AACD61E" w14:textId="77777777">
        <w:trPr>
          <w:trHeight w:val="1463"/>
        </w:trPr>
        <w:tc>
          <w:tcPr>
            <w:tcW w:w="3922" w:type="dxa"/>
            <w:shd w:val="clear" w:color="auto" w:fill="D0CECE"/>
          </w:tcPr>
          <w:p w14:paraId="73C38A02" w14:textId="77777777" w:rsidR="00905FF4" w:rsidRDefault="00905FF4">
            <w:pPr>
              <w:pStyle w:val="TableParagraph"/>
              <w:spacing w:before="1"/>
              <w:ind w:left="0"/>
              <w:rPr>
                <w:rFonts w:ascii="Cambria"/>
                <w:sz w:val="25"/>
              </w:rPr>
            </w:pPr>
          </w:p>
          <w:p w14:paraId="2F925A06" w14:textId="77777777" w:rsidR="00905FF4" w:rsidRDefault="000006A1">
            <w:pPr>
              <w:pStyle w:val="TableParagraph"/>
              <w:spacing w:before="0"/>
              <w:ind w:right="101"/>
              <w:rPr>
                <w:sz w:val="24"/>
              </w:rPr>
            </w:pPr>
            <w:r>
              <w:rPr>
                <w:sz w:val="24"/>
              </w:rPr>
              <w:t>Top five execution venues ranked in terms of trading volumes (descending order)</w:t>
            </w:r>
          </w:p>
        </w:tc>
        <w:tc>
          <w:tcPr>
            <w:tcW w:w="1901" w:type="dxa"/>
            <w:shd w:val="clear" w:color="auto" w:fill="D0CECE"/>
          </w:tcPr>
          <w:p w14:paraId="1C947638" w14:textId="77777777" w:rsidR="00905FF4" w:rsidRDefault="000006A1">
            <w:pPr>
              <w:pStyle w:val="TableParagraph"/>
              <w:spacing w:before="1" w:line="290" w:lineRule="atLeast"/>
              <w:ind w:left="178" w:right="173"/>
              <w:jc w:val="center"/>
              <w:rPr>
                <w:sz w:val="24"/>
              </w:rPr>
            </w:pPr>
            <w:r>
              <w:rPr>
                <w:sz w:val="24"/>
              </w:rPr>
              <w:t>Proportion of volume traded as a percentage of total in that class</w:t>
            </w:r>
          </w:p>
        </w:tc>
        <w:tc>
          <w:tcPr>
            <w:tcW w:w="1896" w:type="dxa"/>
            <w:shd w:val="clear" w:color="auto" w:fill="D0CECE"/>
          </w:tcPr>
          <w:p w14:paraId="0687F440" w14:textId="77777777" w:rsidR="00905FF4" w:rsidRDefault="000006A1">
            <w:pPr>
              <w:pStyle w:val="TableParagraph"/>
              <w:spacing w:before="145"/>
              <w:ind w:left="115" w:right="105" w:hanging="1"/>
              <w:jc w:val="center"/>
              <w:rPr>
                <w:sz w:val="24"/>
              </w:rPr>
            </w:pPr>
            <w:r>
              <w:rPr>
                <w:sz w:val="24"/>
              </w:rPr>
              <w:t>Proportion of orders executed as percentage of total in that class</w:t>
            </w:r>
          </w:p>
        </w:tc>
        <w:tc>
          <w:tcPr>
            <w:tcW w:w="1901" w:type="dxa"/>
            <w:shd w:val="clear" w:color="auto" w:fill="D0CECE"/>
          </w:tcPr>
          <w:p w14:paraId="28B1EDAE" w14:textId="77777777" w:rsidR="00905FF4" w:rsidRDefault="00905FF4">
            <w:pPr>
              <w:pStyle w:val="TableParagraph"/>
              <w:spacing w:before="4"/>
              <w:ind w:left="0"/>
              <w:rPr>
                <w:rFonts w:ascii="Cambria"/>
                <w:sz w:val="37"/>
              </w:rPr>
            </w:pPr>
          </w:p>
          <w:p w14:paraId="4CF7E90D" w14:textId="77777777" w:rsidR="00905FF4" w:rsidRDefault="000006A1">
            <w:pPr>
              <w:pStyle w:val="TableParagraph"/>
              <w:spacing w:before="0"/>
              <w:ind w:left="251" w:right="220" w:firstLine="21"/>
              <w:rPr>
                <w:sz w:val="24"/>
              </w:rPr>
            </w:pPr>
            <w:r>
              <w:rPr>
                <w:sz w:val="24"/>
              </w:rPr>
              <w:t>Percentage of passive orders</w:t>
            </w:r>
          </w:p>
        </w:tc>
        <w:tc>
          <w:tcPr>
            <w:tcW w:w="1901" w:type="dxa"/>
            <w:shd w:val="clear" w:color="auto" w:fill="D0CECE"/>
          </w:tcPr>
          <w:p w14:paraId="5DB48471" w14:textId="77777777" w:rsidR="00905FF4" w:rsidRDefault="00905FF4">
            <w:pPr>
              <w:pStyle w:val="TableParagraph"/>
              <w:spacing w:before="1"/>
              <w:ind w:left="0"/>
              <w:rPr>
                <w:rFonts w:ascii="Cambria"/>
                <w:sz w:val="25"/>
              </w:rPr>
            </w:pPr>
          </w:p>
          <w:p w14:paraId="7149D264" w14:textId="77777777" w:rsidR="00905FF4" w:rsidRDefault="000006A1">
            <w:pPr>
              <w:pStyle w:val="TableParagraph"/>
              <w:spacing w:before="0"/>
              <w:ind w:left="177" w:right="173"/>
              <w:jc w:val="center"/>
              <w:rPr>
                <w:sz w:val="24"/>
              </w:rPr>
            </w:pPr>
            <w:r>
              <w:rPr>
                <w:sz w:val="24"/>
              </w:rPr>
              <w:t>Percentage of aggressive orders</w:t>
            </w:r>
          </w:p>
        </w:tc>
        <w:tc>
          <w:tcPr>
            <w:tcW w:w="2002" w:type="dxa"/>
            <w:shd w:val="clear" w:color="auto" w:fill="D0CECE"/>
          </w:tcPr>
          <w:p w14:paraId="38194362" w14:textId="77777777" w:rsidR="00905FF4" w:rsidRDefault="00905FF4">
            <w:pPr>
              <w:pStyle w:val="TableParagraph"/>
              <w:spacing w:before="4"/>
              <w:ind w:left="0"/>
              <w:rPr>
                <w:rFonts w:ascii="Cambria"/>
                <w:sz w:val="37"/>
              </w:rPr>
            </w:pPr>
          </w:p>
          <w:p w14:paraId="3C3AE696" w14:textId="77777777" w:rsidR="00905FF4" w:rsidRDefault="000006A1">
            <w:pPr>
              <w:pStyle w:val="TableParagraph"/>
              <w:spacing w:before="0"/>
              <w:ind w:left="246" w:right="226" w:firstLine="71"/>
              <w:rPr>
                <w:sz w:val="24"/>
              </w:rPr>
            </w:pPr>
            <w:r>
              <w:rPr>
                <w:sz w:val="24"/>
              </w:rPr>
              <w:t>Percentage of directed orders</w:t>
            </w:r>
          </w:p>
        </w:tc>
      </w:tr>
      <w:tr w:rsidR="00905FF4" w14:paraId="007BDF11" w14:textId="77777777">
        <w:trPr>
          <w:trHeight w:val="679"/>
        </w:trPr>
        <w:tc>
          <w:tcPr>
            <w:tcW w:w="3922" w:type="dxa"/>
          </w:tcPr>
          <w:p w14:paraId="139F1DA2" w14:textId="77777777" w:rsidR="00905FF4" w:rsidRDefault="000006A1">
            <w:pPr>
              <w:pStyle w:val="TableParagraph"/>
              <w:spacing w:before="47"/>
              <w:ind w:right="273"/>
              <w:rPr>
                <w:sz w:val="24"/>
              </w:rPr>
            </w:pPr>
            <w:r>
              <w:rPr>
                <w:sz w:val="24"/>
              </w:rPr>
              <w:t>Capital Com SV Investments Limited 2138001R35G3IZJZZC68</w:t>
            </w:r>
          </w:p>
        </w:tc>
        <w:tc>
          <w:tcPr>
            <w:tcW w:w="1901" w:type="dxa"/>
          </w:tcPr>
          <w:p w14:paraId="5A40966F" w14:textId="77777777" w:rsidR="00905FF4" w:rsidRDefault="000006A1">
            <w:pPr>
              <w:pStyle w:val="TableParagraph"/>
              <w:ind w:left="175" w:right="173"/>
              <w:jc w:val="center"/>
              <w:rPr>
                <w:sz w:val="24"/>
              </w:rPr>
            </w:pPr>
            <w:r>
              <w:rPr>
                <w:sz w:val="24"/>
              </w:rPr>
              <w:t>100%</w:t>
            </w:r>
          </w:p>
        </w:tc>
        <w:tc>
          <w:tcPr>
            <w:tcW w:w="1896" w:type="dxa"/>
          </w:tcPr>
          <w:p w14:paraId="7AD7FE35" w14:textId="77777777" w:rsidR="00905FF4" w:rsidRDefault="000006A1">
            <w:pPr>
              <w:pStyle w:val="TableParagraph"/>
              <w:ind w:left="658" w:right="651"/>
              <w:jc w:val="center"/>
              <w:rPr>
                <w:sz w:val="24"/>
              </w:rPr>
            </w:pPr>
            <w:r>
              <w:rPr>
                <w:sz w:val="24"/>
              </w:rPr>
              <w:t>100%</w:t>
            </w:r>
          </w:p>
        </w:tc>
        <w:tc>
          <w:tcPr>
            <w:tcW w:w="1901" w:type="dxa"/>
          </w:tcPr>
          <w:p w14:paraId="4B4027F2" w14:textId="77777777" w:rsidR="00905FF4" w:rsidRDefault="000006A1">
            <w:pPr>
              <w:pStyle w:val="TableParagraph"/>
              <w:ind w:left="178" w:right="166"/>
              <w:jc w:val="center"/>
              <w:rPr>
                <w:sz w:val="24"/>
              </w:rPr>
            </w:pPr>
            <w:r>
              <w:rPr>
                <w:sz w:val="24"/>
              </w:rPr>
              <w:t>N/A</w:t>
            </w:r>
          </w:p>
        </w:tc>
        <w:tc>
          <w:tcPr>
            <w:tcW w:w="1901" w:type="dxa"/>
          </w:tcPr>
          <w:p w14:paraId="77494FF1" w14:textId="77777777" w:rsidR="00905FF4" w:rsidRDefault="000006A1">
            <w:pPr>
              <w:pStyle w:val="TableParagraph"/>
              <w:ind w:left="175" w:right="173"/>
              <w:jc w:val="center"/>
              <w:rPr>
                <w:sz w:val="24"/>
              </w:rPr>
            </w:pPr>
            <w:r>
              <w:rPr>
                <w:sz w:val="24"/>
              </w:rPr>
              <w:t>N/A</w:t>
            </w:r>
          </w:p>
        </w:tc>
        <w:tc>
          <w:tcPr>
            <w:tcW w:w="2002" w:type="dxa"/>
          </w:tcPr>
          <w:p w14:paraId="528CD95E" w14:textId="77777777" w:rsidR="00905FF4" w:rsidRDefault="000006A1">
            <w:pPr>
              <w:pStyle w:val="TableParagraph"/>
              <w:ind w:left="783" w:right="782"/>
              <w:jc w:val="center"/>
              <w:rPr>
                <w:sz w:val="24"/>
              </w:rPr>
            </w:pPr>
            <w:r>
              <w:rPr>
                <w:sz w:val="24"/>
              </w:rPr>
              <w:t>N/A</w:t>
            </w:r>
          </w:p>
        </w:tc>
      </w:tr>
    </w:tbl>
    <w:p w14:paraId="2B294294" w14:textId="77777777" w:rsidR="00905FF4" w:rsidRDefault="00905FF4">
      <w:pPr>
        <w:pStyle w:val="BodyText"/>
        <w:spacing w:before="9"/>
        <w:rPr>
          <w:sz w:val="35"/>
        </w:rPr>
      </w:pPr>
    </w:p>
    <w:p w14:paraId="68EBF278" w14:textId="77777777" w:rsidR="00905FF4" w:rsidRDefault="000006A1">
      <w:pPr>
        <w:pStyle w:val="Heading2"/>
        <w:numPr>
          <w:ilvl w:val="0"/>
          <w:numId w:val="1"/>
        </w:numPr>
        <w:tabs>
          <w:tab w:val="left" w:pos="840"/>
        </w:tabs>
        <w:ind w:hanging="361"/>
      </w:pPr>
      <w:r>
        <w:rPr>
          <w:color w:val="4C4C4C"/>
        </w:rPr>
        <w:t>Trading volumes for all executed client orders in</w:t>
      </w:r>
      <w:r>
        <w:rPr>
          <w:color w:val="4C4C4C"/>
          <w:spacing w:val="-3"/>
        </w:rPr>
        <w:t xml:space="preserve"> </w:t>
      </w:r>
      <w:r>
        <w:rPr>
          <w:color w:val="4C4C4C"/>
        </w:rPr>
        <w:t>SFTs</w:t>
      </w:r>
    </w:p>
    <w:p w14:paraId="3EC1CE9B" w14:textId="77777777" w:rsidR="00905FF4" w:rsidRDefault="000006A1">
      <w:pPr>
        <w:pStyle w:val="BodyText"/>
        <w:spacing w:before="141"/>
        <w:ind w:left="839"/>
      </w:pPr>
      <w:r>
        <w:rPr>
          <w:color w:val="4C4C4C"/>
        </w:rPr>
        <w:t>Securities Financing Transactions are not applicable in the Company’s business model.</w:t>
      </w:r>
    </w:p>
    <w:p w14:paraId="2C1FECC6" w14:textId="77777777" w:rsidR="00905FF4" w:rsidRDefault="00905FF4">
      <w:pPr>
        <w:pStyle w:val="BodyText"/>
        <w:spacing w:before="2"/>
        <w:rPr>
          <w:sz w:val="27"/>
        </w:rPr>
      </w:pPr>
    </w:p>
    <w:p w14:paraId="5FCB20F3" w14:textId="77777777" w:rsidR="00905FF4" w:rsidRDefault="000006A1">
      <w:pPr>
        <w:pStyle w:val="Heading2"/>
        <w:numPr>
          <w:ilvl w:val="0"/>
          <w:numId w:val="1"/>
        </w:numPr>
        <w:tabs>
          <w:tab w:val="left" w:pos="840"/>
        </w:tabs>
        <w:ind w:hanging="361"/>
      </w:pPr>
      <w:r>
        <w:rPr>
          <w:color w:val="4C4C4C"/>
        </w:rPr>
        <w:t>Monitoring of the quality of execution: summary analysis and</w:t>
      </w:r>
      <w:r>
        <w:rPr>
          <w:color w:val="4C4C4C"/>
          <w:spacing w:val="-2"/>
        </w:rPr>
        <w:t xml:space="preserve"> </w:t>
      </w:r>
      <w:r>
        <w:rPr>
          <w:color w:val="4C4C4C"/>
        </w:rPr>
        <w:t>conclusions</w:t>
      </w:r>
    </w:p>
    <w:p w14:paraId="0EBBECE3" w14:textId="77777777" w:rsidR="00905FF4" w:rsidRDefault="00905FF4">
      <w:pPr>
        <w:pStyle w:val="BodyText"/>
        <w:spacing w:before="9"/>
        <w:rPr>
          <w:b/>
          <w:sz w:val="26"/>
        </w:rPr>
      </w:pPr>
    </w:p>
    <w:p w14:paraId="5A7B7570" w14:textId="77777777" w:rsidR="00905FF4" w:rsidRDefault="000006A1">
      <w:pPr>
        <w:pStyle w:val="ListParagraph"/>
        <w:numPr>
          <w:ilvl w:val="1"/>
          <w:numId w:val="1"/>
        </w:numPr>
        <w:tabs>
          <w:tab w:val="left" w:pos="1558"/>
          <w:tab w:val="left" w:pos="1560"/>
        </w:tabs>
        <w:ind w:hanging="489"/>
        <w:jc w:val="left"/>
        <w:rPr>
          <w:b/>
          <w:color w:val="4C4C4C"/>
          <w:sz w:val="24"/>
        </w:rPr>
      </w:pPr>
      <w:r>
        <w:rPr>
          <w:b/>
          <w:color w:val="4C4C4C"/>
          <w:sz w:val="24"/>
        </w:rPr>
        <w:t>Relative importance the IF gave to the execution</w:t>
      </w:r>
      <w:r>
        <w:rPr>
          <w:b/>
          <w:color w:val="4C4C4C"/>
          <w:spacing w:val="-2"/>
          <w:sz w:val="24"/>
        </w:rPr>
        <w:t xml:space="preserve"> </w:t>
      </w:r>
      <w:r>
        <w:rPr>
          <w:b/>
          <w:color w:val="4C4C4C"/>
          <w:sz w:val="24"/>
        </w:rPr>
        <w:t>factors</w:t>
      </w:r>
    </w:p>
    <w:p w14:paraId="4D5533A3" w14:textId="77777777" w:rsidR="00905FF4" w:rsidRDefault="000006A1">
      <w:pPr>
        <w:pStyle w:val="BodyText"/>
        <w:spacing w:before="142" w:line="360" w:lineRule="auto"/>
        <w:ind w:left="1559" w:right="409"/>
      </w:pPr>
      <w:r>
        <w:rPr>
          <w:color w:val="4C4C4C"/>
        </w:rPr>
        <w:t>The Company when executing Clients’ orders is required under the relevant regulatory framework to assessing relative importance to the following execution factors:</w:t>
      </w:r>
    </w:p>
    <w:p w14:paraId="58AAC7E9" w14:textId="77777777" w:rsidR="00905FF4" w:rsidRDefault="00905FF4">
      <w:pPr>
        <w:pStyle w:val="BodyText"/>
        <w:spacing w:before="4"/>
        <w:rPr>
          <w:sz w:val="23"/>
        </w:rPr>
      </w:pPr>
    </w:p>
    <w:p w14:paraId="2AC40B5D" w14:textId="77777777" w:rsidR="00905FF4" w:rsidRDefault="000006A1">
      <w:pPr>
        <w:pStyle w:val="ListParagraph"/>
        <w:numPr>
          <w:ilvl w:val="2"/>
          <w:numId w:val="1"/>
        </w:numPr>
        <w:tabs>
          <w:tab w:val="left" w:pos="2280"/>
        </w:tabs>
        <w:ind w:hanging="361"/>
        <w:rPr>
          <w:sz w:val="24"/>
        </w:rPr>
      </w:pPr>
      <w:r>
        <w:rPr>
          <w:color w:val="4C4C4C"/>
          <w:sz w:val="24"/>
        </w:rPr>
        <w:t>Price;</w:t>
      </w:r>
    </w:p>
    <w:p w14:paraId="3DF4C0D5" w14:textId="77777777" w:rsidR="00905FF4" w:rsidRDefault="000006A1">
      <w:pPr>
        <w:pStyle w:val="ListParagraph"/>
        <w:numPr>
          <w:ilvl w:val="2"/>
          <w:numId w:val="1"/>
        </w:numPr>
        <w:tabs>
          <w:tab w:val="left" w:pos="2280"/>
        </w:tabs>
        <w:spacing w:before="141"/>
        <w:ind w:hanging="361"/>
        <w:rPr>
          <w:sz w:val="24"/>
        </w:rPr>
      </w:pPr>
      <w:r>
        <w:rPr>
          <w:color w:val="4C4C4C"/>
          <w:sz w:val="24"/>
        </w:rPr>
        <w:t>Cost;</w:t>
      </w:r>
    </w:p>
    <w:p w14:paraId="7196813E" w14:textId="77777777" w:rsidR="00905FF4" w:rsidRDefault="000006A1">
      <w:pPr>
        <w:pStyle w:val="ListParagraph"/>
        <w:numPr>
          <w:ilvl w:val="2"/>
          <w:numId w:val="1"/>
        </w:numPr>
        <w:tabs>
          <w:tab w:val="left" w:pos="2280"/>
        </w:tabs>
        <w:spacing w:before="136"/>
        <w:ind w:hanging="361"/>
        <w:rPr>
          <w:sz w:val="24"/>
        </w:rPr>
      </w:pPr>
      <w:r>
        <w:rPr>
          <w:color w:val="4C4C4C"/>
          <w:sz w:val="24"/>
        </w:rPr>
        <w:t>Speed of</w:t>
      </w:r>
      <w:r>
        <w:rPr>
          <w:color w:val="4C4C4C"/>
          <w:spacing w:val="-2"/>
          <w:sz w:val="24"/>
        </w:rPr>
        <w:t xml:space="preserve"> </w:t>
      </w:r>
      <w:r>
        <w:rPr>
          <w:color w:val="4C4C4C"/>
          <w:sz w:val="24"/>
        </w:rPr>
        <w:t>Execution;</w:t>
      </w:r>
    </w:p>
    <w:p w14:paraId="35E92DDF" w14:textId="77777777" w:rsidR="00905FF4" w:rsidRDefault="00905FF4">
      <w:pPr>
        <w:rPr>
          <w:sz w:val="24"/>
        </w:rPr>
        <w:sectPr w:rsidR="00905FF4">
          <w:pgSz w:w="16840" w:h="11910" w:orient="landscape"/>
          <w:pgMar w:top="1100" w:right="1320" w:bottom="280" w:left="1340" w:header="720" w:footer="720" w:gutter="0"/>
          <w:cols w:space="720"/>
        </w:sectPr>
      </w:pPr>
    </w:p>
    <w:p w14:paraId="4D9191B6" w14:textId="77777777" w:rsidR="00905FF4" w:rsidRDefault="00905FF4">
      <w:pPr>
        <w:pStyle w:val="BodyText"/>
        <w:rPr>
          <w:sz w:val="20"/>
        </w:rPr>
      </w:pPr>
    </w:p>
    <w:p w14:paraId="648FDAD1" w14:textId="77777777" w:rsidR="00905FF4" w:rsidRDefault="00905FF4">
      <w:pPr>
        <w:pStyle w:val="BodyText"/>
        <w:spacing w:before="2"/>
        <w:rPr>
          <w:sz w:val="22"/>
        </w:rPr>
      </w:pPr>
    </w:p>
    <w:p w14:paraId="7DCA6CBF" w14:textId="77777777" w:rsidR="00905FF4" w:rsidRDefault="000006A1">
      <w:pPr>
        <w:pStyle w:val="ListParagraph"/>
        <w:numPr>
          <w:ilvl w:val="2"/>
          <w:numId w:val="1"/>
        </w:numPr>
        <w:tabs>
          <w:tab w:val="left" w:pos="2280"/>
        </w:tabs>
        <w:ind w:hanging="361"/>
        <w:rPr>
          <w:sz w:val="24"/>
        </w:rPr>
      </w:pPr>
      <w:r>
        <w:rPr>
          <w:color w:val="4C4C4C"/>
          <w:sz w:val="24"/>
        </w:rPr>
        <w:t>Likelihood of</w:t>
      </w:r>
      <w:r>
        <w:rPr>
          <w:color w:val="4C4C4C"/>
          <w:spacing w:val="-1"/>
          <w:sz w:val="24"/>
        </w:rPr>
        <w:t xml:space="preserve"> </w:t>
      </w:r>
      <w:r>
        <w:rPr>
          <w:color w:val="4C4C4C"/>
          <w:sz w:val="24"/>
        </w:rPr>
        <w:t>execution;</w:t>
      </w:r>
    </w:p>
    <w:p w14:paraId="59BAE002" w14:textId="77777777" w:rsidR="00905FF4" w:rsidRDefault="000006A1">
      <w:pPr>
        <w:pStyle w:val="ListParagraph"/>
        <w:numPr>
          <w:ilvl w:val="2"/>
          <w:numId w:val="1"/>
        </w:numPr>
        <w:tabs>
          <w:tab w:val="left" w:pos="2280"/>
        </w:tabs>
        <w:spacing w:before="137"/>
        <w:ind w:hanging="361"/>
        <w:rPr>
          <w:sz w:val="24"/>
        </w:rPr>
      </w:pPr>
      <w:r>
        <w:rPr>
          <w:color w:val="4C4C4C"/>
          <w:sz w:val="24"/>
        </w:rPr>
        <w:t>Likelihood of</w:t>
      </w:r>
      <w:r>
        <w:rPr>
          <w:color w:val="4C4C4C"/>
          <w:spacing w:val="-2"/>
          <w:sz w:val="24"/>
        </w:rPr>
        <w:t xml:space="preserve"> </w:t>
      </w:r>
      <w:r>
        <w:rPr>
          <w:color w:val="4C4C4C"/>
          <w:sz w:val="24"/>
        </w:rPr>
        <w:t>settlement;</w:t>
      </w:r>
    </w:p>
    <w:p w14:paraId="71309A0B" w14:textId="77777777" w:rsidR="00905FF4" w:rsidRDefault="000006A1">
      <w:pPr>
        <w:pStyle w:val="ListParagraph"/>
        <w:numPr>
          <w:ilvl w:val="2"/>
          <w:numId w:val="1"/>
        </w:numPr>
        <w:tabs>
          <w:tab w:val="left" w:pos="2280"/>
        </w:tabs>
        <w:spacing w:before="141"/>
        <w:ind w:hanging="361"/>
        <w:rPr>
          <w:sz w:val="24"/>
        </w:rPr>
      </w:pPr>
      <w:r>
        <w:rPr>
          <w:color w:val="4C4C4C"/>
          <w:sz w:val="24"/>
        </w:rPr>
        <w:t>Size of</w:t>
      </w:r>
      <w:r>
        <w:rPr>
          <w:color w:val="4C4C4C"/>
          <w:spacing w:val="-1"/>
          <w:sz w:val="24"/>
        </w:rPr>
        <w:t xml:space="preserve"> </w:t>
      </w:r>
      <w:r>
        <w:rPr>
          <w:color w:val="4C4C4C"/>
          <w:sz w:val="24"/>
        </w:rPr>
        <w:t>order;</w:t>
      </w:r>
    </w:p>
    <w:p w14:paraId="709298B8" w14:textId="77777777" w:rsidR="00905FF4" w:rsidRDefault="000006A1">
      <w:pPr>
        <w:pStyle w:val="ListParagraph"/>
        <w:numPr>
          <w:ilvl w:val="2"/>
          <w:numId w:val="1"/>
        </w:numPr>
        <w:tabs>
          <w:tab w:val="left" w:pos="2280"/>
        </w:tabs>
        <w:spacing w:before="136"/>
        <w:ind w:hanging="361"/>
        <w:rPr>
          <w:sz w:val="24"/>
        </w:rPr>
      </w:pPr>
      <w:r>
        <w:rPr>
          <w:color w:val="4C4C4C"/>
          <w:sz w:val="24"/>
        </w:rPr>
        <w:t>Market impact;</w:t>
      </w:r>
    </w:p>
    <w:p w14:paraId="42F9CD72" w14:textId="77777777" w:rsidR="00905FF4" w:rsidRDefault="000006A1">
      <w:pPr>
        <w:pStyle w:val="ListParagraph"/>
        <w:numPr>
          <w:ilvl w:val="2"/>
          <w:numId w:val="1"/>
        </w:numPr>
        <w:tabs>
          <w:tab w:val="left" w:pos="2280"/>
        </w:tabs>
        <w:spacing w:before="141"/>
        <w:ind w:hanging="361"/>
        <w:rPr>
          <w:sz w:val="24"/>
        </w:rPr>
      </w:pPr>
      <w:r>
        <w:rPr>
          <w:color w:val="4C4C4C"/>
          <w:sz w:val="24"/>
        </w:rPr>
        <w:t>Nature of</w:t>
      </w:r>
      <w:r>
        <w:rPr>
          <w:color w:val="4C4C4C"/>
          <w:spacing w:val="-1"/>
          <w:sz w:val="24"/>
        </w:rPr>
        <w:t xml:space="preserve"> </w:t>
      </w:r>
      <w:r>
        <w:rPr>
          <w:color w:val="4C4C4C"/>
          <w:sz w:val="24"/>
        </w:rPr>
        <w:t>order.</w:t>
      </w:r>
    </w:p>
    <w:p w14:paraId="044B58F9" w14:textId="77777777" w:rsidR="00905FF4" w:rsidRDefault="00905FF4">
      <w:pPr>
        <w:pStyle w:val="BodyText"/>
        <w:spacing w:before="4"/>
        <w:rPr>
          <w:sz w:val="35"/>
        </w:rPr>
      </w:pPr>
    </w:p>
    <w:p w14:paraId="59A0F1AB" w14:textId="77777777" w:rsidR="00905FF4" w:rsidRDefault="000006A1">
      <w:pPr>
        <w:pStyle w:val="BodyText"/>
        <w:spacing w:line="357" w:lineRule="auto"/>
        <w:ind w:left="1559" w:right="114"/>
      </w:pPr>
      <w:r>
        <w:rPr>
          <w:color w:val="4C4C4C"/>
        </w:rPr>
        <w:t>The best possible result for our clients (retail and professional) will be determined in terms of the total consideration (unless the obje</w:t>
      </w:r>
      <w:r>
        <w:rPr>
          <w:color w:val="4C4C4C"/>
        </w:rPr>
        <w:t>ctive of the execution of the order dictates otherwise), represented primarily by the price of the financial instrument and the costs related to the execution. The costs related to the executions include the expenses incurred by the client which are direct</w:t>
      </w:r>
      <w:r>
        <w:rPr>
          <w:color w:val="4C4C4C"/>
        </w:rPr>
        <w:t>ly related to the execution of his/her order. The other execution factors of speed, likelihood of execution, size, nature or any other relevant consideration will, in most cases, be secondary to the price and costs considerations, unless they would deliver</w:t>
      </w:r>
      <w:r>
        <w:rPr>
          <w:color w:val="4C4C4C"/>
        </w:rPr>
        <w:t xml:space="preserve"> the best possible result for the client in terms of total consideration. The </w:t>
      </w:r>
      <w:r>
        <w:rPr>
          <w:color w:val="4C4C4C"/>
          <w:spacing w:val="-3"/>
        </w:rPr>
        <w:t xml:space="preserve">relative </w:t>
      </w:r>
      <w:r>
        <w:rPr>
          <w:color w:val="4C4C4C"/>
        </w:rPr>
        <w:t>importance of these secondary criteria will be judged in line with our commercial experience and with reference to market conditions including the need for timely execution, availability of price improvement, the liquidity of the market and the size of you</w:t>
      </w:r>
      <w:r>
        <w:rPr>
          <w:color w:val="4C4C4C"/>
        </w:rPr>
        <w:t>r order (which may make it difficult to execute an order) and the potential impact on total consideration.</w:t>
      </w:r>
    </w:p>
    <w:p w14:paraId="0E640338" w14:textId="77777777" w:rsidR="00905FF4" w:rsidRDefault="00905FF4">
      <w:pPr>
        <w:pStyle w:val="BodyText"/>
        <w:spacing w:before="5"/>
      </w:pPr>
    </w:p>
    <w:p w14:paraId="2DDC2382" w14:textId="77777777" w:rsidR="00905FF4" w:rsidRDefault="000006A1">
      <w:pPr>
        <w:pStyle w:val="BodyText"/>
        <w:spacing w:line="364" w:lineRule="auto"/>
        <w:ind w:left="1559" w:right="751"/>
      </w:pPr>
      <w:r>
        <w:rPr>
          <w:color w:val="4C4C4C"/>
        </w:rPr>
        <w:t xml:space="preserve">For further details with respect to the Company’s best execution arrangements, please refer to the Company’s </w:t>
      </w:r>
      <w:r>
        <w:rPr>
          <w:color w:val="0000FF"/>
          <w:u w:val="single" w:color="0000FF"/>
        </w:rPr>
        <w:t>Order</w:t>
      </w:r>
      <w:r>
        <w:rPr>
          <w:color w:val="0000FF"/>
        </w:rPr>
        <w:t xml:space="preserve"> </w:t>
      </w:r>
      <w:r>
        <w:rPr>
          <w:color w:val="0000FF"/>
          <w:u w:val="single" w:color="0000FF"/>
        </w:rPr>
        <w:t>Execution Policy</w:t>
      </w:r>
      <w:r>
        <w:rPr>
          <w:color w:val="4C4C4C"/>
        </w:rPr>
        <w:t>.</w:t>
      </w:r>
    </w:p>
    <w:p w14:paraId="714AF37D" w14:textId="77777777" w:rsidR="00905FF4" w:rsidRDefault="00905FF4">
      <w:pPr>
        <w:pStyle w:val="BodyText"/>
        <w:spacing w:before="3"/>
        <w:rPr>
          <w:sz w:val="14"/>
        </w:rPr>
      </w:pPr>
    </w:p>
    <w:p w14:paraId="636BE444" w14:textId="77777777" w:rsidR="00905FF4" w:rsidRDefault="000006A1">
      <w:pPr>
        <w:pStyle w:val="Heading2"/>
        <w:numPr>
          <w:ilvl w:val="1"/>
          <w:numId w:val="1"/>
        </w:numPr>
        <w:tabs>
          <w:tab w:val="left" w:pos="1558"/>
          <w:tab w:val="left" w:pos="1560"/>
        </w:tabs>
        <w:spacing w:before="101"/>
        <w:ind w:hanging="566"/>
        <w:jc w:val="left"/>
        <w:rPr>
          <w:color w:val="4C4C4C"/>
        </w:rPr>
      </w:pPr>
      <w:r>
        <w:rPr>
          <w:color w:val="4C4C4C"/>
        </w:rPr>
        <w:t>A description of any close links, conflicts of interests and common</w:t>
      </w:r>
      <w:r>
        <w:rPr>
          <w:color w:val="4C4C4C"/>
          <w:spacing w:val="-4"/>
        </w:rPr>
        <w:t xml:space="preserve"> </w:t>
      </w:r>
      <w:r>
        <w:rPr>
          <w:color w:val="4C4C4C"/>
        </w:rPr>
        <w:t>ownerships;</w:t>
      </w:r>
    </w:p>
    <w:p w14:paraId="3D20E73C" w14:textId="77777777" w:rsidR="00905FF4" w:rsidRDefault="000006A1">
      <w:pPr>
        <w:pStyle w:val="BodyText"/>
        <w:spacing w:before="141"/>
        <w:ind w:left="1559"/>
      </w:pPr>
      <w:r>
        <w:rPr>
          <w:color w:val="4C4C4C"/>
        </w:rPr>
        <w:t>The Company does not have any close-links,</w:t>
      </w:r>
      <w:r>
        <w:rPr>
          <w:color w:val="4C4C4C"/>
        </w:rPr>
        <w:t xml:space="preserve"> conflicts, and common ownerships with respect to any execution venues used</w:t>
      </w:r>
    </w:p>
    <w:p w14:paraId="3253BD2B" w14:textId="77777777" w:rsidR="00905FF4" w:rsidRDefault="00905FF4">
      <w:pPr>
        <w:sectPr w:rsidR="00905FF4">
          <w:pgSz w:w="16840" w:h="11910" w:orient="landscape"/>
          <w:pgMar w:top="1100" w:right="1320" w:bottom="280" w:left="1340" w:header="720" w:footer="720" w:gutter="0"/>
          <w:cols w:space="720"/>
        </w:sectPr>
      </w:pPr>
    </w:p>
    <w:p w14:paraId="518CE254" w14:textId="77777777" w:rsidR="00905FF4" w:rsidRDefault="00905FF4">
      <w:pPr>
        <w:pStyle w:val="BodyText"/>
        <w:rPr>
          <w:sz w:val="20"/>
        </w:rPr>
      </w:pPr>
    </w:p>
    <w:p w14:paraId="24D383D6" w14:textId="77777777" w:rsidR="00905FF4" w:rsidRDefault="00905FF4">
      <w:pPr>
        <w:pStyle w:val="BodyText"/>
        <w:spacing w:before="2"/>
        <w:rPr>
          <w:sz w:val="22"/>
        </w:rPr>
      </w:pPr>
    </w:p>
    <w:p w14:paraId="617581FB" w14:textId="77777777" w:rsidR="00905FF4" w:rsidRDefault="000006A1">
      <w:pPr>
        <w:pStyle w:val="BodyText"/>
        <w:spacing w:line="357" w:lineRule="auto"/>
        <w:ind w:left="1559" w:right="83"/>
      </w:pPr>
      <w:r>
        <w:rPr>
          <w:color w:val="4C4C4C"/>
        </w:rPr>
        <w:t>to execute orders as the Company is the sole execution venue for all its clients’ orders. The Company’s approach to identify and prevent or manage conflicts of in</w:t>
      </w:r>
      <w:r>
        <w:rPr>
          <w:color w:val="4C4C4C"/>
        </w:rPr>
        <w:t xml:space="preserve">terest, which may arise during the course of its business activities is set out in the </w:t>
      </w:r>
      <w:r>
        <w:rPr>
          <w:color w:val="0000FF"/>
          <w:u w:val="single" w:color="0000FF"/>
        </w:rPr>
        <w:t>Conflicts of Interest Policy</w:t>
      </w:r>
      <w:r>
        <w:rPr>
          <w:color w:val="4C4C4C"/>
        </w:rPr>
        <w:t>.</w:t>
      </w:r>
    </w:p>
    <w:p w14:paraId="740860D5" w14:textId="77777777" w:rsidR="00905FF4" w:rsidRDefault="000006A1">
      <w:pPr>
        <w:pStyle w:val="Heading2"/>
        <w:numPr>
          <w:ilvl w:val="1"/>
          <w:numId w:val="1"/>
        </w:numPr>
        <w:tabs>
          <w:tab w:val="left" w:pos="1558"/>
          <w:tab w:val="left" w:pos="1560"/>
        </w:tabs>
        <w:spacing w:before="43"/>
        <w:ind w:hanging="644"/>
        <w:jc w:val="left"/>
        <w:rPr>
          <w:color w:val="4C4C4C"/>
        </w:rPr>
      </w:pPr>
      <w:r>
        <w:rPr>
          <w:color w:val="4C4C4C"/>
        </w:rPr>
        <w:t>A description of any specific arrangements with any execution</w:t>
      </w:r>
      <w:r>
        <w:rPr>
          <w:color w:val="4C4C4C"/>
          <w:spacing w:val="-2"/>
        </w:rPr>
        <w:t xml:space="preserve"> </w:t>
      </w:r>
      <w:r>
        <w:rPr>
          <w:color w:val="4C4C4C"/>
        </w:rPr>
        <w:t>venues</w:t>
      </w:r>
    </w:p>
    <w:p w14:paraId="0077C5BE" w14:textId="77777777" w:rsidR="00905FF4" w:rsidRDefault="000006A1">
      <w:pPr>
        <w:pStyle w:val="BodyText"/>
        <w:spacing w:before="141" w:line="360" w:lineRule="auto"/>
        <w:ind w:left="1559" w:right="231"/>
      </w:pPr>
      <w:r>
        <w:rPr>
          <w:color w:val="4C4C4C"/>
        </w:rPr>
        <w:t>As mentioned in Point 1, the Company is the sole execution venue for t</w:t>
      </w:r>
      <w:r>
        <w:rPr>
          <w:color w:val="4C4C4C"/>
        </w:rPr>
        <w:t>he execution of the Client’s orders and therefore, it does not have any specific arrangements with any execution venues regarding payments made or received, discounts, rebates or non-monetary benefits received.</w:t>
      </w:r>
    </w:p>
    <w:p w14:paraId="0DE9AEF7" w14:textId="77777777" w:rsidR="00905FF4" w:rsidRDefault="000006A1">
      <w:pPr>
        <w:pStyle w:val="Heading2"/>
        <w:numPr>
          <w:ilvl w:val="1"/>
          <w:numId w:val="1"/>
        </w:numPr>
        <w:tabs>
          <w:tab w:val="left" w:pos="1558"/>
          <w:tab w:val="left" w:pos="1560"/>
        </w:tabs>
        <w:spacing w:before="179"/>
        <w:ind w:hanging="633"/>
        <w:jc w:val="left"/>
        <w:rPr>
          <w:color w:val="4C4C4C"/>
        </w:rPr>
      </w:pPr>
      <w:r>
        <w:rPr>
          <w:color w:val="4C4C4C"/>
        </w:rPr>
        <w:t>Change in the list of execution</w:t>
      </w:r>
      <w:r>
        <w:rPr>
          <w:color w:val="4C4C4C"/>
          <w:spacing w:val="-2"/>
        </w:rPr>
        <w:t xml:space="preserve"> </w:t>
      </w:r>
      <w:r>
        <w:rPr>
          <w:color w:val="4C4C4C"/>
        </w:rPr>
        <w:t>venues</w:t>
      </w:r>
    </w:p>
    <w:p w14:paraId="58EA0243" w14:textId="77777777" w:rsidR="00905FF4" w:rsidRDefault="000006A1">
      <w:pPr>
        <w:pStyle w:val="BodyText"/>
        <w:spacing w:before="141"/>
        <w:ind w:left="1559"/>
      </w:pPr>
      <w:r>
        <w:rPr>
          <w:color w:val="4C4C4C"/>
        </w:rPr>
        <w:t xml:space="preserve">There </w:t>
      </w:r>
      <w:r>
        <w:rPr>
          <w:color w:val="4C4C4C"/>
        </w:rPr>
        <w:t>is no change occurred in the list of execution venues in the Company’s execution policy in 2018.</w:t>
      </w:r>
    </w:p>
    <w:p w14:paraId="2465A317" w14:textId="77777777" w:rsidR="00905FF4" w:rsidRDefault="00905FF4">
      <w:pPr>
        <w:pStyle w:val="BodyText"/>
        <w:spacing w:before="7"/>
        <w:rPr>
          <w:sz w:val="27"/>
        </w:rPr>
      </w:pPr>
    </w:p>
    <w:p w14:paraId="6A2E63F2" w14:textId="77777777" w:rsidR="00905FF4" w:rsidRDefault="000006A1">
      <w:pPr>
        <w:pStyle w:val="Heading2"/>
        <w:numPr>
          <w:ilvl w:val="1"/>
          <w:numId w:val="1"/>
        </w:numPr>
        <w:tabs>
          <w:tab w:val="left" w:pos="1558"/>
          <w:tab w:val="left" w:pos="1560"/>
        </w:tabs>
        <w:ind w:hanging="556"/>
        <w:jc w:val="left"/>
        <w:rPr>
          <w:color w:val="4C4C4C"/>
        </w:rPr>
      </w:pPr>
      <w:r>
        <w:rPr>
          <w:color w:val="4C4C4C"/>
        </w:rPr>
        <w:t>Order execution per client</w:t>
      </w:r>
      <w:r>
        <w:rPr>
          <w:color w:val="4C4C4C"/>
          <w:spacing w:val="-2"/>
        </w:rPr>
        <w:t xml:space="preserve"> </w:t>
      </w:r>
      <w:r>
        <w:rPr>
          <w:color w:val="4C4C4C"/>
        </w:rPr>
        <w:t>categorization</w:t>
      </w:r>
    </w:p>
    <w:p w14:paraId="10BD3CC5" w14:textId="77777777" w:rsidR="00905FF4" w:rsidRDefault="000006A1">
      <w:pPr>
        <w:pStyle w:val="BodyText"/>
        <w:spacing w:before="136" w:line="360" w:lineRule="auto"/>
        <w:ind w:left="1559" w:right="398"/>
      </w:pPr>
      <w:r>
        <w:rPr>
          <w:color w:val="4C4C4C"/>
        </w:rPr>
        <w:t xml:space="preserve">The Company does not differ its Order Execution based on client category. All clients’ orders were executed with one execution arrangement. This arrangement is agreed between parties by acceptance of the </w:t>
      </w:r>
      <w:r>
        <w:rPr>
          <w:color w:val="BB8B62"/>
          <w:u w:val="single" w:color="BB8B62"/>
        </w:rPr>
        <w:t>order execution policy</w:t>
      </w:r>
      <w:r>
        <w:rPr>
          <w:color w:val="BB8B62"/>
        </w:rPr>
        <w:t xml:space="preserve"> </w:t>
      </w:r>
      <w:r>
        <w:rPr>
          <w:color w:val="4C4C4C"/>
        </w:rPr>
        <w:t>before the services are provi</w:t>
      </w:r>
      <w:r>
        <w:rPr>
          <w:color w:val="4C4C4C"/>
        </w:rPr>
        <w:t>ded.</w:t>
      </w:r>
    </w:p>
    <w:p w14:paraId="46D0FCBA" w14:textId="77777777" w:rsidR="00905FF4" w:rsidRDefault="000006A1">
      <w:pPr>
        <w:pStyle w:val="Heading2"/>
        <w:numPr>
          <w:ilvl w:val="1"/>
          <w:numId w:val="1"/>
        </w:numPr>
        <w:tabs>
          <w:tab w:val="left" w:pos="1558"/>
          <w:tab w:val="left" w:pos="1560"/>
        </w:tabs>
        <w:spacing w:before="184"/>
        <w:ind w:hanging="633"/>
        <w:jc w:val="left"/>
        <w:rPr>
          <w:color w:val="4C4C4C"/>
        </w:rPr>
      </w:pPr>
      <w:r>
        <w:rPr>
          <w:color w:val="4C4C4C"/>
        </w:rPr>
        <w:t>Other criteria given precedence over immediate price and</w:t>
      </w:r>
      <w:r>
        <w:rPr>
          <w:color w:val="4C4C4C"/>
          <w:spacing w:val="-1"/>
        </w:rPr>
        <w:t xml:space="preserve"> </w:t>
      </w:r>
      <w:r>
        <w:rPr>
          <w:color w:val="4C4C4C"/>
        </w:rPr>
        <w:t>cost</w:t>
      </w:r>
    </w:p>
    <w:p w14:paraId="5A7C3706" w14:textId="77777777" w:rsidR="00905FF4" w:rsidRDefault="000006A1">
      <w:pPr>
        <w:pStyle w:val="BodyText"/>
        <w:spacing w:before="141" w:line="360" w:lineRule="auto"/>
        <w:ind w:left="1559" w:right="1401"/>
      </w:pPr>
      <w:r>
        <w:rPr>
          <w:color w:val="4C4C4C"/>
        </w:rPr>
        <w:t>All client categorizations are treated the same and therefore best execution is determined on the basis of total consideration as described in the Order Execution Policy at section 5.</w:t>
      </w:r>
    </w:p>
    <w:p w14:paraId="6A57B7A5" w14:textId="77777777" w:rsidR="00905FF4" w:rsidRDefault="000006A1">
      <w:pPr>
        <w:pStyle w:val="Heading2"/>
        <w:numPr>
          <w:ilvl w:val="1"/>
          <w:numId w:val="1"/>
        </w:numPr>
        <w:tabs>
          <w:tab w:val="left" w:pos="1558"/>
          <w:tab w:val="left" w:pos="1560"/>
        </w:tabs>
        <w:spacing w:before="178"/>
        <w:ind w:hanging="711"/>
        <w:jc w:val="left"/>
        <w:rPr>
          <w:color w:val="4C4C4C"/>
        </w:rPr>
      </w:pPr>
      <w:r>
        <w:rPr>
          <w:color w:val="4C4C4C"/>
        </w:rPr>
        <w:t xml:space="preserve">Data </w:t>
      </w:r>
      <w:r>
        <w:rPr>
          <w:color w:val="4C4C4C"/>
        </w:rPr>
        <w:t>or tools the Company has used relating to the quality of</w:t>
      </w:r>
      <w:r>
        <w:rPr>
          <w:color w:val="4C4C4C"/>
          <w:spacing w:val="-3"/>
        </w:rPr>
        <w:t xml:space="preserve"> </w:t>
      </w:r>
      <w:r>
        <w:rPr>
          <w:color w:val="4C4C4C"/>
        </w:rPr>
        <w:t>execution</w:t>
      </w:r>
    </w:p>
    <w:p w14:paraId="422D264F" w14:textId="77777777" w:rsidR="00905FF4" w:rsidRDefault="000006A1">
      <w:pPr>
        <w:pStyle w:val="BodyText"/>
        <w:spacing w:before="141" w:line="360" w:lineRule="auto"/>
        <w:ind w:left="1559" w:right="343"/>
      </w:pPr>
      <w:r>
        <w:rPr>
          <w:color w:val="4C4C4C"/>
        </w:rPr>
        <w:t>The Company has procedures and process in place to regularly assess the quality of its order execution and of published prices in the underlying financial instruments provided by the extern</w:t>
      </w:r>
      <w:r>
        <w:rPr>
          <w:color w:val="4C4C4C"/>
        </w:rPr>
        <w:t>al data providers. These procedures and processes</w:t>
      </w:r>
    </w:p>
    <w:p w14:paraId="592377B8" w14:textId="77777777" w:rsidR="00905FF4" w:rsidRDefault="00905FF4">
      <w:pPr>
        <w:spacing w:line="360" w:lineRule="auto"/>
        <w:sectPr w:rsidR="00905FF4">
          <w:pgSz w:w="16840" w:h="11910" w:orient="landscape"/>
          <w:pgMar w:top="1100" w:right="1320" w:bottom="280" w:left="1340" w:header="720" w:footer="720" w:gutter="0"/>
          <w:cols w:space="720"/>
        </w:sectPr>
      </w:pPr>
    </w:p>
    <w:p w14:paraId="40B4B193" w14:textId="77777777" w:rsidR="00905FF4" w:rsidRDefault="00905FF4">
      <w:pPr>
        <w:pStyle w:val="BodyText"/>
        <w:spacing w:before="9"/>
        <w:rPr>
          <w:sz w:val="21"/>
        </w:rPr>
      </w:pPr>
    </w:p>
    <w:p w14:paraId="6F0D252C" w14:textId="77777777" w:rsidR="00905FF4" w:rsidRDefault="000006A1">
      <w:pPr>
        <w:pStyle w:val="BodyText"/>
        <w:spacing w:before="100" w:line="360" w:lineRule="auto"/>
        <w:ind w:left="1559" w:right="441"/>
      </w:pPr>
      <w:r>
        <w:rPr>
          <w:color w:val="4C4C4C"/>
        </w:rPr>
        <w:t>also include reviewing the data published under Delegated Regulation (EU) 2017/575 (“RTS27”) as applicable. This ensures that the price the Company is offering at any given time is always c</w:t>
      </w:r>
      <w:r>
        <w:rPr>
          <w:color w:val="4C4C4C"/>
        </w:rPr>
        <w:t>onsidered to be fair and the best price it can obtain. The Company consistently monitors the inputs to its proprietary pricing and alerts which are in place for when relevant parameters go beyond thresholds set. In addition, the Company routinely monitor t</w:t>
      </w:r>
      <w:r>
        <w:rPr>
          <w:color w:val="4C4C4C"/>
        </w:rPr>
        <w:t>he quality of execution by analyzing client trading data which includes:</w:t>
      </w:r>
    </w:p>
    <w:p w14:paraId="665801D7" w14:textId="77777777" w:rsidR="00905FF4" w:rsidRDefault="00905FF4">
      <w:pPr>
        <w:pStyle w:val="BodyText"/>
        <w:spacing w:before="11"/>
        <w:rPr>
          <w:sz w:val="23"/>
        </w:rPr>
      </w:pPr>
    </w:p>
    <w:p w14:paraId="594B94DB" w14:textId="77777777" w:rsidR="00905FF4" w:rsidRDefault="000006A1">
      <w:pPr>
        <w:pStyle w:val="ListParagraph"/>
        <w:numPr>
          <w:ilvl w:val="2"/>
          <w:numId w:val="1"/>
        </w:numPr>
        <w:tabs>
          <w:tab w:val="left" w:pos="2274"/>
        </w:tabs>
        <w:ind w:left="2273" w:hanging="358"/>
        <w:rPr>
          <w:sz w:val="24"/>
        </w:rPr>
      </w:pPr>
      <w:r>
        <w:rPr>
          <w:color w:val="4C4C4C"/>
          <w:sz w:val="24"/>
        </w:rPr>
        <w:t>Evaluation of the Company’s execution quality in accordance with the</w:t>
      </w:r>
      <w:r>
        <w:rPr>
          <w:color w:val="4C4C4C"/>
          <w:spacing w:val="-2"/>
          <w:sz w:val="24"/>
        </w:rPr>
        <w:t xml:space="preserve"> </w:t>
      </w:r>
      <w:r>
        <w:rPr>
          <w:color w:val="4C4C4C"/>
          <w:sz w:val="24"/>
        </w:rPr>
        <w:t>following:</w:t>
      </w:r>
    </w:p>
    <w:p w14:paraId="439A8A26" w14:textId="77777777" w:rsidR="00905FF4" w:rsidRDefault="000006A1">
      <w:pPr>
        <w:pStyle w:val="ListParagraph"/>
        <w:numPr>
          <w:ilvl w:val="3"/>
          <w:numId w:val="1"/>
        </w:numPr>
        <w:tabs>
          <w:tab w:val="left" w:pos="2998"/>
          <w:tab w:val="left" w:pos="3000"/>
        </w:tabs>
        <w:spacing w:before="3"/>
        <w:ind w:hanging="361"/>
        <w:rPr>
          <w:sz w:val="24"/>
        </w:rPr>
      </w:pPr>
      <w:r>
        <w:rPr>
          <w:color w:val="4C4C4C"/>
          <w:sz w:val="24"/>
        </w:rPr>
        <w:t>Execution</w:t>
      </w:r>
      <w:r>
        <w:rPr>
          <w:color w:val="4C4C4C"/>
          <w:spacing w:val="-2"/>
          <w:sz w:val="24"/>
        </w:rPr>
        <w:t xml:space="preserve"> </w:t>
      </w:r>
      <w:r>
        <w:rPr>
          <w:color w:val="4C4C4C"/>
          <w:sz w:val="24"/>
        </w:rPr>
        <w:t>Price;</w:t>
      </w:r>
    </w:p>
    <w:p w14:paraId="1AB29F8F" w14:textId="77777777" w:rsidR="00905FF4" w:rsidRDefault="000006A1">
      <w:pPr>
        <w:pStyle w:val="ListParagraph"/>
        <w:numPr>
          <w:ilvl w:val="3"/>
          <w:numId w:val="1"/>
        </w:numPr>
        <w:tabs>
          <w:tab w:val="left" w:pos="2998"/>
          <w:tab w:val="left" w:pos="3000"/>
        </w:tabs>
        <w:spacing w:before="137"/>
        <w:ind w:hanging="361"/>
        <w:rPr>
          <w:sz w:val="24"/>
        </w:rPr>
      </w:pPr>
      <w:r>
        <w:rPr>
          <w:color w:val="4C4C4C"/>
          <w:sz w:val="24"/>
        </w:rPr>
        <w:t>Price frequency (price updates in real</w:t>
      </w:r>
      <w:r>
        <w:rPr>
          <w:color w:val="4C4C4C"/>
          <w:spacing w:val="-1"/>
          <w:sz w:val="24"/>
        </w:rPr>
        <w:t xml:space="preserve"> </w:t>
      </w:r>
      <w:r>
        <w:rPr>
          <w:color w:val="4C4C4C"/>
          <w:sz w:val="24"/>
        </w:rPr>
        <w:t>time);</w:t>
      </w:r>
    </w:p>
    <w:p w14:paraId="519FFCED" w14:textId="77777777" w:rsidR="00905FF4" w:rsidRDefault="000006A1">
      <w:pPr>
        <w:pStyle w:val="ListParagraph"/>
        <w:numPr>
          <w:ilvl w:val="3"/>
          <w:numId w:val="1"/>
        </w:numPr>
        <w:tabs>
          <w:tab w:val="left" w:pos="2998"/>
          <w:tab w:val="left" w:pos="3000"/>
        </w:tabs>
        <w:spacing w:before="142"/>
        <w:ind w:hanging="361"/>
        <w:rPr>
          <w:sz w:val="24"/>
        </w:rPr>
      </w:pPr>
      <w:r>
        <w:rPr>
          <w:color w:val="4C4C4C"/>
          <w:sz w:val="24"/>
        </w:rPr>
        <w:t>Speed of</w:t>
      </w:r>
      <w:r>
        <w:rPr>
          <w:color w:val="4C4C4C"/>
          <w:spacing w:val="-5"/>
          <w:sz w:val="24"/>
        </w:rPr>
        <w:t xml:space="preserve"> </w:t>
      </w:r>
      <w:r>
        <w:rPr>
          <w:color w:val="4C4C4C"/>
          <w:sz w:val="24"/>
        </w:rPr>
        <w:t>execution;</w:t>
      </w:r>
    </w:p>
    <w:p w14:paraId="01B6F0FC" w14:textId="77777777" w:rsidR="00905FF4" w:rsidRDefault="000006A1">
      <w:pPr>
        <w:pStyle w:val="ListParagraph"/>
        <w:numPr>
          <w:ilvl w:val="3"/>
          <w:numId w:val="1"/>
        </w:numPr>
        <w:tabs>
          <w:tab w:val="left" w:pos="2998"/>
          <w:tab w:val="left" w:pos="3000"/>
        </w:tabs>
        <w:spacing w:before="143"/>
        <w:ind w:hanging="361"/>
        <w:rPr>
          <w:sz w:val="24"/>
        </w:rPr>
      </w:pPr>
      <w:r>
        <w:rPr>
          <w:color w:val="4C4C4C"/>
          <w:sz w:val="24"/>
        </w:rPr>
        <w:t>Instrument</w:t>
      </w:r>
      <w:r>
        <w:rPr>
          <w:color w:val="4C4C4C"/>
          <w:spacing w:val="-2"/>
          <w:sz w:val="24"/>
        </w:rPr>
        <w:t xml:space="preserve"> </w:t>
      </w:r>
      <w:r>
        <w:rPr>
          <w:color w:val="4C4C4C"/>
          <w:sz w:val="24"/>
        </w:rPr>
        <w:t>traded;</w:t>
      </w:r>
    </w:p>
    <w:p w14:paraId="6247A1B3" w14:textId="77777777" w:rsidR="00905FF4" w:rsidRDefault="000006A1">
      <w:pPr>
        <w:pStyle w:val="ListParagraph"/>
        <w:numPr>
          <w:ilvl w:val="3"/>
          <w:numId w:val="1"/>
        </w:numPr>
        <w:tabs>
          <w:tab w:val="left" w:pos="2998"/>
          <w:tab w:val="left" w:pos="3000"/>
        </w:tabs>
        <w:spacing w:before="137"/>
        <w:ind w:hanging="361"/>
        <w:rPr>
          <w:sz w:val="24"/>
        </w:rPr>
      </w:pPr>
      <w:r>
        <w:rPr>
          <w:color w:val="4C4C4C"/>
          <w:sz w:val="24"/>
        </w:rPr>
        <w:t>Trade</w:t>
      </w:r>
      <w:r>
        <w:rPr>
          <w:color w:val="4C4C4C"/>
          <w:spacing w:val="-1"/>
          <w:sz w:val="24"/>
        </w:rPr>
        <w:t xml:space="preserve"> </w:t>
      </w:r>
      <w:r>
        <w:rPr>
          <w:color w:val="4C4C4C"/>
          <w:sz w:val="24"/>
        </w:rPr>
        <w:t>size;</w:t>
      </w:r>
    </w:p>
    <w:p w14:paraId="71134C09" w14:textId="77777777" w:rsidR="00905FF4" w:rsidRDefault="000006A1">
      <w:pPr>
        <w:pStyle w:val="ListParagraph"/>
        <w:numPr>
          <w:ilvl w:val="3"/>
          <w:numId w:val="1"/>
        </w:numPr>
        <w:tabs>
          <w:tab w:val="left" w:pos="2998"/>
          <w:tab w:val="left" w:pos="3000"/>
        </w:tabs>
        <w:spacing w:before="142"/>
        <w:ind w:hanging="361"/>
        <w:rPr>
          <w:sz w:val="24"/>
        </w:rPr>
      </w:pPr>
      <w:r>
        <w:rPr>
          <w:color w:val="4C4C4C"/>
          <w:sz w:val="24"/>
        </w:rPr>
        <w:t>Pricing</w:t>
      </w:r>
      <w:r>
        <w:rPr>
          <w:color w:val="4C4C4C"/>
          <w:spacing w:val="-1"/>
          <w:sz w:val="24"/>
        </w:rPr>
        <w:t xml:space="preserve"> </w:t>
      </w:r>
      <w:r>
        <w:rPr>
          <w:color w:val="4C4C4C"/>
          <w:sz w:val="24"/>
        </w:rPr>
        <w:t>transparency.</w:t>
      </w:r>
    </w:p>
    <w:p w14:paraId="0C58D75B" w14:textId="77777777" w:rsidR="00905FF4" w:rsidRDefault="000006A1">
      <w:pPr>
        <w:pStyle w:val="ListParagraph"/>
        <w:numPr>
          <w:ilvl w:val="2"/>
          <w:numId w:val="1"/>
        </w:numPr>
        <w:tabs>
          <w:tab w:val="left" w:pos="2280"/>
        </w:tabs>
        <w:spacing w:before="141" w:line="360" w:lineRule="auto"/>
        <w:ind w:right="710"/>
        <w:rPr>
          <w:sz w:val="24"/>
        </w:rPr>
      </w:pPr>
      <w:r>
        <w:rPr>
          <w:color w:val="4C4C4C"/>
          <w:sz w:val="24"/>
        </w:rPr>
        <w:t>Use of the Company’s in-house tools to monitor slippage, on a regular basis, to ensure that it is symmetric (i.e. balance between positive and negative slippage) and</w:t>
      </w:r>
      <w:r>
        <w:rPr>
          <w:color w:val="4C4C4C"/>
          <w:spacing w:val="-8"/>
          <w:sz w:val="24"/>
        </w:rPr>
        <w:t xml:space="preserve"> </w:t>
      </w:r>
      <w:r>
        <w:rPr>
          <w:color w:val="4C4C4C"/>
          <w:sz w:val="24"/>
        </w:rPr>
        <w:t>fair.</w:t>
      </w:r>
    </w:p>
    <w:p w14:paraId="474A68B1" w14:textId="77777777" w:rsidR="00905FF4" w:rsidRDefault="00905FF4">
      <w:pPr>
        <w:pStyle w:val="BodyText"/>
        <w:spacing w:before="10"/>
        <w:rPr>
          <w:sz w:val="23"/>
        </w:rPr>
      </w:pPr>
    </w:p>
    <w:p w14:paraId="0C9F35B5" w14:textId="77777777" w:rsidR="00905FF4" w:rsidRDefault="000006A1">
      <w:pPr>
        <w:pStyle w:val="BodyText"/>
        <w:spacing w:line="360" w:lineRule="auto"/>
        <w:ind w:left="1559" w:right="477"/>
      </w:pPr>
      <w:r>
        <w:rPr>
          <w:color w:val="4C4C4C"/>
        </w:rPr>
        <w:t>The Company’s relevant personn</w:t>
      </w:r>
      <w:r>
        <w:rPr>
          <w:color w:val="4C4C4C"/>
        </w:rPr>
        <w:t>el monitor execution arrangements on a regular basis using the evaluation process described in the point above, and, if actions are required, liaises with the Company’s Senior Management for corrective measures.</w:t>
      </w:r>
    </w:p>
    <w:p w14:paraId="52DC0757" w14:textId="77777777" w:rsidR="00905FF4" w:rsidRDefault="00905FF4">
      <w:pPr>
        <w:spacing w:line="360" w:lineRule="auto"/>
        <w:sectPr w:rsidR="00905FF4">
          <w:pgSz w:w="16840" w:h="11910" w:orient="landscape"/>
          <w:pgMar w:top="1100" w:right="1320" w:bottom="280" w:left="1340" w:header="720" w:footer="720" w:gutter="0"/>
          <w:cols w:space="720"/>
        </w:sectPr>
      </w:pPr>
    </w:p>
    <w:p w14:paraId="5E128359" w14:textId="77777777" w:rsidR="00905FF4" w:rsidRDefault="00905FF4">
      <w:pPr>
        <w:pStyle w:val="BodyText"/>
        <w:spacing w:before="9"/>
        <w:rPr>
          <w:sz w:val="21"/>
        </w:rPr>
      </w:pPr>
    </w:p>
    <w:p w14:paraId="0745D902" w14:textId="77777777" w:rsidR="00905FF4" w:rsidRDefault="000006A1">
      <w:pPr>
        <w:pStyle w:val="BodyText"/>
        <w:spacing w:before="100" w:line="360" w:lineRule="auto"/>
        <w:ind w:left="1559" w:right="326"/>
      </w:pPr>
      <w:r>
        <w:rPr>
          <w:color w:val="4C4C4C"/>
        </w:rPr>
        <w:t>The Company’s control funct</w:t>
      </w:r>
      <w:r>
        <w:rPr>
          <w:color w:val="4C4C4C"/>
        </w:rPr>
        <w:t>ions (Compliance and Internal Audit) scrutinize the monitoring procedure and the actions taken by Company’s Senior Management. The Company’s control functions present any findings to the Company’s Board of Directors, at least annually, for further scrutiny</w:t>
      </w:r>
      <w:r>
        <w:rPr>
          <w:color w:val="4C4C4C"/>
        </w:rPr>
        <w:t xml:space="preserve"> and actions.</w:t>
      </w:r>
    </w:p>
    <w:p w14:paraId="1DA2D5E1" w14:textId="77777777" w:rsidR="00905FF4" w:rsidRDefault="00905FF4">
      <w:pPr>
        <w:pStyle w:val="BodyText"/>
        <w:spacing w:before="10"/>
        <w:rPr>
          <w:sz w:val="23"/>
        </w:rPr>
      </w:pPr>
    </w:p>
    <w:p w14:paraId="0AF3DC67" w14:textId="77777777" w:rsidR="00905FF4" w:rsidRDefault="000006A1">
      <w:pPr>
        <w:pStyle w:val="BodyText"/>
        <w:ind w:left="1559"/>
      </w:pPr>
      <w:r>
        <w:rPr>
          <w:color w:val="4C4C4C"/>
        </w:rPr>
        <w:t>The Company has not discovered any systematic deviation after continuous review of the data in 2018.</w:t>
      </w:r>
    </w:p>
    <w:p w14:paraId="485B0FB8" w14:textId="77777777" w:rsidR="00905FF4" w:rsidRDefault="00905FF4">
      <w:pPr>
        <w:pStyle w:val="BodyText"/>
        <w:spacing w:before="9"/>
        <w:rPr>
          <w:sz w:val="35"/>
        </w:rPr>
      </w:pPr>
    </w:p>
    <w:p w14:paraId="6876D770" w14:textId="77777777" w:rsidR="00905FF4" w:rsidRDefault="000006A1">
      <w:pPr>
        <w:pStyle w:val="Heading2"/>
        <w:numPr>
          <w:ilvl w:val="1"/>
          <w:numId w:val="1"/>
        </w:numPr>
        <w:tabs>
          <w:tab w:val="left" w:pos="1558"/>
          <w:tab w:val="left" w:pos="1560"/>
        </w:tabs>
        <w:ind w:hanging="821"/>
        <w:jc w:val="left"/>
        <w:rPr>
          <w:color w:val="4C4C4C"/>
        </w:rPr>
      </w:pPr>
      <w:r>
        <w:rPr>
          <w:color w:val="4C4C4C"/>
        </w:rPr>
        <w:t>Output of a consolidated tape</w:t>
      </w:r>
      <w:r>
        <w:rPr>
          <w:color w:val="4C4C4C"/>
          <w:spacing w:val="-1"/>
        </w:rPr>
        <w:t xml:space="preserve"> </w:t>
      </w:r>
      <w:r>
        <w:rPr>
          <w:color w:val="4C4C4C"/>
        </w:rPr>
        <w:t>provider</w:t>
      </w:r>
    </w:p>
    <w:p w14:paraId="3233DC79" w14:textId="77777777" w:rsidR="00905FF4" w:rsidRDefault="000006A1">
      <w:pPr>
        <w:pStyle w:val="BodyText"/>
        <w:spacing w:before="141" w:line="360" w:lineRule="auto"/>
        <w:ind w:left="1559" w:right="485"/>
      </w:pPr>
      <w:r>
        <w:rPr>
          <w:color w:val="4C4C4C"/>
        </w:rPr>
        <w:t xml:space="preserve">The Company did not make use of the output of a consolidated tape providers established under Article 65 of </w:t>
      </w:r>
      <w:r>
        <w:rPr>
          <w:color w:val="BB8B62"/>
          <w:u w:val="single" w:color="BB8B62"/>
        </w:rPr>
        <w:t>Directive</w:t>
      </w:r>
      <w:r>
        <w:rPr>
          <w:color w:val="BB8B62"/>
        </w:rPr>
        <w:t xml:space="preserve"> </w:t>
      </w:r>
      <w:r>
        <w:rPr>
          <w:color w:val="BB8B62"/>
          <w:u w:val="single" w:color="BB8B62"/>
        </w:rPr>
        <w:t>2014/65/EU</w:t>
      </w:r>
    </w:p>
    <w:sectPr w:rsidR="00905FF4">
      <w:pgSz w:w="16840" w:h="11910" w:orient="landscape"/>
      <w:pgMar w:top="11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37C9B"/>
    <w:multiLevelType w:val="hybridMultilevel"/>
    <w:tmpl w:val="45FA19E8"/>
    <w:lvl w:ilvl="0" w:tplc="3D2647B6">
      <w:start w:val="1"/>
      <w:numFmt w:val="decimal"/>
      <w:lvlText w:val="%1."/>
      <w:lvlJc w:val="left"/>
      <w:pPr>
        <w:ind w:left="839" w:hanging="360"/>
        <w:jc w:val="left"/>
      </w:pPr>
      <w:rPr>
        <w:rFonts w:ascii="Cambria" w:eastAsia="Cambria" w:hAnsi="Cambria" w:cs="Cambria" w:hint="default"/>
        <w:color w:val="4C4C4C"/>
        <w:spacing w:val="-1"/>
        <w:w w:val="100"/>
        <w:sz w:val="24"/>
        <w:szCs w:val="24"/>
        <w:lang w:val="en-US" w:eastAsia="en-US" w:bidi="en-US"/>
      </w:rPr>
    </w:lvl>
    <w:lvl w:ilvl="1" w:tplc="9D78B2C8">
      <w:start w:val="1"/>
      <w:numFmt w:val="upperRoman"/>
      <w:lvlText w:val="%2."/>
      <w:lvlJc w:val="left"/>
      <w:pPr>
        <w:ind w:left="1559" w:hanging="488"/>
        <w:jc w:val="right"/>
      </w:pPr>
      <w:rPr>
        <w:rFonts w:hint="default"/>
        <w:spacing w:val="-1"/>
        <w:w w:val="100"/>
        <w:lang w:val="en-US" w:eastAsia="en-US" w:bidi="en-US"/>
      </w:rPr>
    </w:lvl>
    <w:lvl w:ilvl="2" w:tplc="3C585FFE">
      <w:start w:val="1"/>
      <w:numFmt w:val="lowerLetter"/>
      <w:lvlText w:val="%3)"/>
      <w:lvlJc w:val="left"/>
      <w:pPr>
        <w:ind w:left="2279" w:hanging="360"/>
        <w:jc w:val="left"/>
      </w:pPr>
      <w:rPr>
        <w:rFonts w:ascii="Cambria" w:eastAsia="Cambria" w:hAnsi="Cambria" w:cs="Cambria" w:hint="default"/>
        <w:color w:val="4C4C4C"/>
        <w:spacing w:val="-8"/>
        <w:w w:val="100"/>
        <w:sz w:val="24"/>
        <w:szCs w:val="24"/>
        <w:lang w:val="en-US" w:eastAsia="en-US" w:bidi="en-US"/>
      </w:rPr>
    </w:lvl>
    <w:lvl w:ilvl="3" w:tplc="EB50147E">
      <w:numFmt w:val="bullet"/>
      <w:lvlText w:val=""/>
      <w:lvlJc w:val="left"/>
      <w:pPr>
        <w:ind w:left="2999" w:hanging="360"/>
      </w:pPr>
      <w:rPr>
        <w:rFonts w:ascii="Symbol" w:eastAsia="Symbol" w:hAnsi="Symbol" w:cs="Symbol" w:hint="default"/>
        <w:color w:val="4C4C4C"/>
        <w:w w:val="100"/>
        <w:sz w:val="24"/>
        <w:szCs w:val="24"/>
        <w:lang w:val="en-US" w:eastAsia="en-US" w:bidi="en-US"/>
      </w:rPr>
    </w:lvl>
    <w:lvl w:ilvl="4" w:tplc="9BBABACE">
      <w:numFmt w:val="bullet"/>
      <w:lvlText w:val="•"/>
      <w:lvlJc w:val="left"/>
      <w:pPr>
        <w:ind w:left="4596" w:hanging="360"/>
      </w:pPr>
      <w:rPr>
        <w:rFonts w:hint="default"/>
        <w:lang w:val="en-US" w:eastAsia="en-US" w:bidi="en-US"/>
      </w:rPr>
    </w:lvl>
    <w:lvl w:ilvl="5" w:tplc="22DE1614">
      <w:numFmt w:val="bullet"/>
      <w:lvlText w:val="•"/>
      <w:lvlJc w:val="left"/>
      <w:pPr>
        <w:ind w:left="6193" w:hanging="360"/>
      </w:pPr>
      <w:rPr>
        <w:rFonts w:hint="default"/>
        <w:lang w:val="en-US" w:eastAsia="en-US" w:bidi="en-US"/>
      </w:rPr>
    </w:lvl>
    <w:lvl w:ilvl="6" w:tplc="7AACA3CE">
      <w:numFmt w:val="bullet"/>
      <w:lvlText w:val="•"/>
      <w:lvlJc w:val="left"/>
      <w:pPr>
        <w:ind w:left="7790" w:hanging="360"/>
      </w:pPr>
      <w:rPr>
        <w:rFonts w:hint="default"/>
        <w:lang w:val="en-US" w:eastAsia="en-US" w:bidi="en-US"/>
      </w:rPr>
    </w:lvl>
    <w:lvl w:ilvl="7" w:tplc="C1CE9F98">
      <w:numFmt w:val="bullet"/>
      <w:lvlText w:val="•"/>
      <w:lvlJc w:val="left"/>
      <w:pPr>
        <w:ind w:left="9387" w:hanging="360"/>
      </w:pPr>
      <w:rPr>
        <w:rFonts w:hint="default"/>
        <w:lang w:val="en-US" w:eastAsia="en-US" w:bidi="en-US"/>
      </w:rPr>
    </w:lvl>
    <w:lvl w:ilvl="8" w:tplc="FE0CBDC0">
      <w:numFmt w:val="bullet"/>
      <w:lvlText w:val="•"/>
      <w:lvlJc w:val="left"/>
      <w:pPr>
        <w:ind w:left="109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05FF4"/>
    <w:rsid w:val="000006A1"/>
    <w:rsid w:val="00905FF4"/>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65B2DBB6"/>
  <w15:docId w15:val="{73ED2FB6-5CF7-3846-AAD7-D4BD447F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99"/>
      <w:ind w:left="119"/>
      <w:outlineLvl w:val="0"/>
    </w:pPr>
    <w:rPr>
      <w:b/>
      <w:bCs/>
      <w:sz w:val="28"/>
      <w:szCs w:val="28"/>
    </w:rPr>
  </w:style>
  <w:style w:type="paragraph" w:styleId="Heading2">
    <w:name w:val="heading 2"/>
    <w:basedOn w:val="Normal"/>
    <w:uiPriority w:val="9"/>
    <w:unhideWhenUsed/>
    <w:qFormat/>
    <w:pPr>
      <w:ind w:left="155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79" w:hanging="361"/>
    </w:pPr>
  </w:style>
  <w:style w:type="paragraph" w:customStyle="1" w:styleId="TableParagraph">
    <w:name w:val="Table Paragraph"/>
    <w:basedOn w:val="Normal"/>
    <w:uiPriority w:val="1"/>
    <w:qFormat/>
    <w:pPr>
      <w:spacing w:before="191"/>
      <w:ind w:left="10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Giannos Ioannou</cp:lastModifiedBy>
  <cp:revision>2</cp:revision>
  <dcterms:created xsi:type="dcterms:W3CDTF">2020-06-26T03:51:00Z</dcterms:created>
  <dcterms:modified xsi:type="dcterms:W3CDTF">2020-06-26T03:52:00Z</dcterms:modified>
</cp:coreProperties>
</file>